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R4-2209597</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20</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May,</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rPr>
        <w:t>.</w:t>
      </w:r>
      <w:r>
        <w:rPr>
          <w:rFonts w:hint="eastAsia" w:ascii="Arial" w:hAnsi="Arial" w:cs="Arial"/>
          <w:b/>
          <w:sz w:val="24"/>
          <w:szCs w:val="24"/>
          <w:highlight w:val="none"/>
          <w:lang w:val="en-US" w:eastAsia="zh-CN"/>
        </w:rPr>
        <w:t>12.5.2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NTN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the previous RAN4 meetings,</w:t>
      </w:r>
      <w:r>
        <w:rPr>
          <w:rFonts w:hint="eastAsia"/>
          <w:color w:val="000000"/>
          <w:u w:val="none" w:color="000000"/>
          <w:lang w:val="en-US" w:eastAsia="zh-CN"/>
        </w:rPr>
        <w:t xml:space="preserve"> we have made lots of progress in NTN UE RF requirements, however there are still lots of remaining issues left for further discussions. In this contribution, we want to share some further analysis on the remaining Rx issues.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20"/>
      <w:bookmarkStart w:id="2" w:name="OLE_LINK13"/>
      <w:bookmarkStart w:id="3" w:name="OLE_LINK14"/>
      <w:bookmarkStart w:id="4" w:name="OLE_LINK10"/>
      <w:r>
        <w:rPr>
          <w:rFonts w:hint="eastAsia"/>
          <w:highlight w:val="none"/>
          <w:lang w:val="en-US" w:eastAsia="zh-CN"/>
        </w:rPr>
        <w:t xml:space="preserve"> </w:t>
      </w:r>
    </w:p>
    <w:p>
      <w:pPr>
        <w:pStyle w:val="42"/>
        <w:keepNext/>
        <w:keepLines/>
        <w:pageBreakBefore w:val="0"/>
        <w:widowControl/>
        <w:numPr>
          <w:ilvl w:val="1"/>
          <w:numId w:val="1"/>
        </w:numPr>
        <w:kinsoku/>
        <w:wordWrap/>
        <w:overflowPunct w:val="0"/>
        <w:topLinePunct w:val="0"/>
        <w:autoSpaceDE w:val="0"/>
        <w:autoSpaceDN w:val="0"/>
        <w:bidi w:val="0"/>
        <w:adjustRightInd w:val="0"/>
        <w:snapToGrid/>
        <w:ind w:left="720" w:leftChars="0" w:hanging="720" w:firstLineChars="0"/>
        <w:jc w:val="left"/>
        <w:textAlignment w:val="baseline"/>
        <w:outlineLvl w:val="1"/>
        <w:rPr>
          <w:rFonts w:hint="eastAsia" w:eastAsia="宋体"/>
          <w:b w:val="0"/>
          <w:bCs w:val="0"/>
          <w:sz w:val="24"/>
          <w:szCs w:val="24"/>
          <w:highlight w:val="none"/>
          <w:lang w:val="en-US" w:eastAsia="zh-CN"/>
        </w:rPr>
      </w:pPr>
      <w:r>
        <w:rPr>
          <w:rFonts w:hint="eastAsia"/>
          <w:b w:val="0"/>
          <w:bCs w:val="0"/>
          <w:sz w:val="24"/>
          <w:szCs w:val="24"/>
          <w:highlight w:val="none"/>
          <w:lang w:val="en-US" w:eastAsia="zh-CN"/>
        </w:rPr>
        <w:t>REFSENS</w:t>
      </w:r>
      <w:r>
        <w:rPr>
          <w:rFonts w:hint="eastAsia" w:eastAsia="宋体"/>
          <w:b w:val="0"/>
          <w:bCs w:val="0"/>
          <w:sz w:val="24"/>
          <w:szCs w:val="24"/>
          <w:highlight w:val="none"/>
          <w:lang w:val="en-US" w:eastAsia="zh-CN"/>
        </w:rPr>
        <w:t xml:space="preserve"> requirements</w:t>
      </w:r>
    </w:p>
    <w:p>
      <w:pPr>
        <w:rPr>
          <w:rFonts w:hint="default"/>
          <w:color w:val="000000"/>
          <w:u w:val="none" w:color="000000"/>
          <w:lang w:val="en-US" w:eastAsia="zh-CN"/>
        </w:rPr>
      </w:pPr>
      <w:r>
        <w:rPr>
          <w:rFonts w:hint="eastAsia"/>
          <w:color w:val="000000"/>
          <w:u w:val="none" w:color="000000"/>
          <w:lang w:val="en-US" w:eastAsia="zh-CN"/>
        </w:rPr>
        <w:t>One of remaining issue is how to define the REFSENS requirement for n256, by reusing the band 65 for reusing the hardware of 65 design as much as possible or with new dedicated design for n256 similar as n24. Both approach could be understandable from the implementation perspective indeed. From our perspective, it seems that with new dedicated band as n24, its performance is 0.5dB better than that of reusing n65. However considering the cost efficiency of NTN UE, we could compromise to option 1 to keep the both option 1 and option 2 feasible as agreed during the GTW session of RAN4#102e meeting.</w:t>
      </w:r>
    </w:p>
    <w:p>
      <w:pPr>
        <w:rPr>
          <w:rFonts w:hint="default"/>
          <w:b/>
          <w:bCs/>
          <w:color w:val="000000"/>
          <w:u w:val="none" w:color="000000"/>
          <w:lang w:val="en-US" w:eastAsia="zh-CN"/>
        </w:rPr>
      </w:pPr>
      <w:r>
        <w:rPr>
          <w:rFonts w:hint="eastAsia"/>
          <w:b/>
          <w:bCs/>
          <w:color w:val="000000"/>
          <w:u w:val="none" w:color="000000"/>
          <w:lang w:val="en-US" w:eastAsia="zh-CN"/>
        </w:rPr>
        <w:t xml:space="preserve">Proposal 1: </w:t>
      </w:r>
      <w:r>
        <w:rPr>
          <w:rFonts w:hint="eastAsia"/>
          <w:b w:val="0"/>
          <w:bCs w:val="0"/>
          <w:color w:val="000000"/>
          <w:u w:val="none" w:color="000000"/>
          <w:lang w:val="en-US" w:eastAsia="zh-CN"/>
        </w:rPr>
        <w:t>to define NTN UE REFSENS requirement for n256 with option 1 to keep the both option 1 and option 2 feasible.</w:t>
      </w:r>
    </w:p>
    <w:p>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pPr>
        <w:pStyle w:val="31"/>
        <w:numPr>
          <w:ilvl w:val="0"/>
          <w:numId w:val="2"/>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eastAsia="zh-CN"/>
        </w:rPr>
        <w:t xml:space="preserve">Proposals </w:t>
      </w:r>
    </w:p>
    <w:p>
      <w:pPr>
        <w:pStyle w:val="31"/>
        <w:numPr>
          <w:ilvl w:val="1"/>
          <w:numId w:val="2"/>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pPr>
        <w:spacing w:after="0"/>
        <w:jc w:val="center"/>
        <w:rPr>
          <w:b/>
          <w:bCs/>
          <w:lang w:val="en-US"/>
        </w:rPr>
      </w:pPr>
      <w:r>
        <w:rPr>
          <w:b/>
          <w:bCs/>
          <w:lang w:val="en-US"/>
        </w:rPr>
        <w:t>REFSENSE of n256</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32"/>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32"/>
              <w:rPr>
                <w:rFonts w:eastAsia="PMingLiU"/>
                <w:lang w:val="en-US"/>
              </w:rPr>
            </w:pPr>
            <w:r>
              <w:rPr>
                <w:rFonts w:eastAsia="PMingLiU"/>
                <w:lang w:val="en-US"/>
              </w:rPr>
              <w:t>Operating Band</w:t>
            </w:r>
          </w:p>
        </w:tc>
        <w:tc>
          <w:tcPr>
            <w:tcW w:w="629" w:type="dxa"/>
            <w:vAlign w:val="center"/>
          </w:tcPr>
          <w:p>
            <w:pPr>
              <w:pStyle w:val="32"/>
              <w:rPr>
                <w:rFonts w:eastAsia="PMingLiU"/>
                <w:lang w:val="en-US"/>
              </w:rPr>
            </w:pPr>
            <w:r>
              <w:rPr>
                <w:rFonts w:eastAsia="PMingLiU"/>
                <w:lang w:val="en-US"/>
              </w:rPr>
              <w:t>SCS kHz</w:t>
            </w:r>
          </w:p>
        </w:tc>
        <w:tc>
          <w:tcPr>
            <w:tcW w:w="741" w:type="dxa"/>
            <w:shd w:val="clear" w:color="auto" w:fill="auto"/>
            <w:vAlign w:val="center"/>
          </w:tcPr>
          <w:p>
            <w:pPr>
              <w:pStyle w:val="32"/>
              <w:rPr>
                <w:rFonts w:eastAsia="PMingLiU"/>
                <w:lang w:val="en-US"/>
              </w:rPr>
            </w:pPr>
            <w:r>
              <w:rPr>
                <w:rFonts w:eastAsia="PMingLiU"/>
                <w:lang w:val="en-US"/>
              </w:rPr>
              <w:t>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10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15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20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25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30 MHz (dBm)</w:t>
            </w:r>
          </w:p>
        </w:tc>
        <w:tc>
          <w:tcPr>
            <w:tcW w:w="741" w:type="dxa"/>
            <w:vAlign w:val="center"/>
          </w:tcPr>
          <w:p>
            <w:pPr>
              <w:pStyle w:val="32"/>
              <w:rPr>
                <w:rFonts w:eastAsia="PMingLiU"/>
                <w:lang w:val="en-US"/>
              </w:rPr>
            </w:pPr>
            <w:r>
              <w:rPr>
                <w:rFonts w:eastAsia="PMingLiU"/>
                <w:lang w:val="en-US"/>
              </w:rPr>
              <w:t>35 MHz (dBm)</w:t>
            </w:r>
          </w:p>
        </w:tc>
        <w:tc>
          <w:tcPr>
            <w:tcW w:w="740" w:type="dxa"/>
            <w:shd w:val="clear" w:color="auto" w:fill="auto"/>
            <w:vAlign w:val="center"/>
          </w:tcPr>
          <w:p>
            <w:pPr>
              <w:pStyle w:val="32"/>
              <w:rPr>
                <w:rFonts w:eastAsia="PMingLiU"/>
                <w:lang w:val="en-US"/>
              </w:rPr>
            </w:pPr>
            <w:r>
              <w:rPr>
                <w:rFonts w:eastAsia="PMingLiU"/>
                <w:lang w:val="en-US"/>
              </w:rPr>
              <w:t>40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45 MHz (dBm)</w:t>
            </w:r>
          </w:p>
        </w:tc>
        <w:tc>
          <w:tcPr>
            <w:tcW w:w="814" w:type="dxa"/>
            <w:vAlign w:val="center"/>
          </w:tcPr>
          <w:p>
            <w:pPr>
              <w:pStyle w:val="32"/>
              <w:rPr>
                <w:rFonts w:eastAsia="PMingLiU"/>
                <w:lang w:val="en-US"/>
              </w:rPr>
            </w:pPr>
            <w:r>
              <w:rPr>
                <w:rFonts w:eastAsia="PMingLiU"/>
                <w:lang w:val="en-US"/>
              </w:rPr>
              <w:t>50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n256</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-99.5</w:t>
            </w:r>
          </w:p>
        </w:tc>
        <w:tc>
          <w:tcPr>
            <w:tcW w:w="740" w:type="dxa"/>
            <w:shd w:val="clear" w:color="auto" w:fill="auto"/>
          </w:tcPr>
          <w:p>
            <w:pPr>
              <w:pStyle w:val="33"/>
              <w:rPr>
                <w:rFonts w:eastAsia="PMingLiU"/>
                <w:lang w:val="en-US"/>
              </w:rPr>
            </w:pPr>
            <w:r>
              <w:rPr>
                <w:rFonts w:eastAsia="PMingLiU" w:cs="Arial"/>
                <w:szCs w:val="18"/>
                <w:lang w:val="en-US"/>
              </w:rPr>
              <w:t>-96.3</w:t>
            </w:r>
          </w:p>
        </w:tc>
        <w:tc>
          <w:tcPr>
            <w:tcW w:w="741" w:type="dxa"/>
            <w:shd w:val="clear" w:color="auto" w:fill="auto"/>
          </w:tcPr>
          <w:p>
            <w:pPr>
              <w:pStyle w:val="33"/>
              <w:rPr>
                <w:rFonts w:eastAsia="PMingLiU"/>
                <w:lang w:val="en-US"/>
              </w:rPr>
            </w:pPr>
            <w:r>
              <w:rPr>
                <w:rFonts w:eastAsia="PMingLiU" w:cs="Arial"/>
                <w:szCs w:val="18"/>
                <w:lang w:val="en-US"/>
              </w:rPr>
              <w:t>-94.5</w:t>
            </w:r>
          </w:p>
        </w:tc>
        <w:tc>
          <w:tcPr>
            <w:tcW w:w="741" w:type="dxa"/>
            <w:shd w:val="clear" w:color="auto" w:fill="auto"/>
          </w:tcPr>
          <w:p>
            <w:pPr>
              <w:pStyle w:val="33"/>
              <w:rPr>
                <w:rFonts w:eastAsia="PMingLiU"/>
                <w:lang w:val="en-US"/>
              </w:rPr>
            </w:pPr>
            <w:r>
              <w:rPr>
                <w:rFonts w:eastAsia="PMingLiU" w:cs="Arial"/>
                <w:szCs w:val="18"/>
                <w:lang w:val="en-US"/>
              </w:rPr>
              <w:t>-93.3</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-96.6</w:t>
            </w:r>
          </w:p>
        </w:tc>
        <w:tc>
          <w:tcPr>
            <w:tcW w:w="741" w:type="dxa"/>
            <w:shd w:val="clear" w:color="auto" w:fill="auto"/>
          </w:tcPr>
          <w:p>
            <w:pPr>
              <w:pStyle w:val="33"/>
              <w:rPr>
                <w:rFonts w:eastAsia="PMingLiU"/>
                <w:lang w:val="en-US"/>
              </w:rPr>
            </w:pPr>
            <w:r>
              <w:rPr>
                <w:rFonts w:eastAsia="PMingLiU" w:cs="Arial"/>
                <w:szCs w:val="18"/>
                <w:lang w:val="en-US"/>
              </w:rPr>
              <w:t>-94.6</w:t>
            </w:r>
          </w:p>
        </w:tc>
        <w:tc>
          <w:tcPr>
            <w:tcW w:w="741" w:type="dxa"/>
            <w:shd w:val="clear" w:color="auto" w:fill="auto"/>
          </w:tcPr>
          <w:p>
            <w:pPr>
              <w:pStyle w:val="33"/>
              <w:rPr>
                <w:rFonts w:eastAsia="PMingLiU"/>
                <w:lang w:val="en-US"/>
              </w:rPr>
            </w:pPr>
            <w:r>
              <w:rPr>
                <w:rFonts w:eastAsia="PMingLiU" w:cs="Arial"/>
                <w:szCs w:val="18"/>
                <w:lang w:val="en-US"/>
              </w:rPr>
              <w:t>-93.5</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-97.0</w:t>
            </w:r>
          </w:p>
        </w:tc>
        <w:tc>
          <w:tcPr>
            <w:tcW w:w="741" w:type="dxa"/>
            <w:shd w:val="clear" w:color="auto" w:fill="auto"/>
          </w:tcPr>
          <w:p>
            <w:pPr>
              <w:pStyle w:val="33"/>
              <w:rPr>
                <w:rFonts w:eastAsia="PMingLiU"/>
                <w:lang w:val="en-US"/>
              </w:rPr>
            </w:pPr>
            <w:r>
              <w:rPr>
                <w:rFonts w:eastAsia="PMingLiU" w:cs="Arial"/>
                <w:szCs w:val="18"/>
                <w:lang w:val="en-US"/>
              </w:rPr>
              <w:t>-94.9</w:t>
            </w:r>
          </w:p>
        </w:tc>
        <w:tc>
          <w:tcPr>
            <w:tcW w:w="741" w:type="dxa"/>
            <w:shd w:val="clear" w:color="auto" w:fill="auto"/>
          </w:tcPr>
          <w:p>
            <w:pPr>
              <w:pStyle w:val="33"/>
              <w:rPr>
                <w:rFonts w:eastAsia="PMingLiU"/>
                <w:lang w:val="en-US"/>
              </w:rPr>
            </w:pPr>
            <w:r>
              <w:rPr>
                <w:rFonts w:eastAsia="PMingLiU" w:cs="Arial"/>
                <w:szCs w:val="18"/>
                <w:lang w:val="en-US"/>
              </w:rPr>
              <w:t>-93.7</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bl>
    <w:p>
      <w:pPr>
        <w:pStyle w:val="31"/>
        <w:overflowPunct/>
        <w:autoSpaceDE/>
        <w:autoSpaceDN/>
        <w:adjustRightInd/>
        <w:spacing w:before="24" w:after="24"/>
        <w:ind w:left="1440" w:firstLine="0" w:firstLineChars="0"/>
        <w:textAlignment w:val="auto"/>
        <w:rPr>
          <w:color w:val="0070C0"/>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n65</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-99.5</w:t>
            </w:r>
          </w:p>
        </w:tc>
        <w:tc>
          <w:tcPr>
            <w:tcW w:w="740" w:type="dxa"/>
            <w:shd w:val="clear" w:color="auto" w:fill="auto"/>
          </w:tcPr>
          <w:p>
            <w:pPr>
              <w:pStyle w:val="33"/>
              <w:rPr>
                <w:rFonts w:eastAsia="PMingLiU"/>
                <w:lang w:val="en-US"/>
              </w:rPr>
            </w:pPr>
            <w:r>
              <w:rPr>
                <w:rFonts w:eastAsia="PMingLiU" w:cs="Arial"/>
                <w:szCs w:val="18"/>
                <w:lang w:val="en-US"/>
              </w:rPr>
              <w:t>-96.3</w:t>
            </w:r>
          </w:p>
        </w:tc>
        <w:tc>
          <w:tcPr>
            <w:tcW w:w="741" w:type="dxa"/>
            <w:shd w:val="clear" w:color="auto" w:fill="auto"/>
          </w:tcPr>
          <w:p>
            <w:pPr>
              <w:pStyle w:val="33"/>
              <w:rPr>
                <w:rFonts w:eastAsia="PMingLiU"/>
                <w:lang w:val="en-US"/>
              </w:rPr>
            </w:pPr>
            <w:r>
              <w:rPr>
                <w:rFonts w:eastAsia="PMingLiU" w:cs="Arial"/>
                <w:szCs w:val="18"/>
                <w:lang w:val="en-US"/>
              </w:rPr>
              <w:t>-94.5</w:t>
            </w:r>
          </w:p>
        </w:tc>
        <w:tc>
          <w:tcPr>
            <w:tcW w:w="741" w:type="dxa"/>
            <w:shd w:val="clear" w:color="auto" w:fill="auto"/>
          </w:tcPr>
          <w:p>
            <w:pPr>
              <w:pStyle w:val="33"/>
              <w:rPr>
                <w:rFonts w:eastAsia="PMingLiU"/>
                <w:lang w:val="en-US"/>
              </w:rPr>
            </w:pPr>
            <w:r>
              <w:rPr>
                <w:rFonts w:eastAsia="PMingLiU" w:cs="Arial"/>
                <w:szCs w:val="18"/>
                <w:lang w:val="en-US"/>
              </w:rPr>
              <w:t>-93.3</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-96.6</w:t>
            </w:r>
          </w:p>
        </w:tc>
        <w:tc>
          <w:tcPr>
            <w:tcW w:w="741" w:type="dxa"/>
            <w:shd w:val="clear" w:color="auto" w:fill="auto"/>
          </w:tcPr>
          <w:p>
            <w:pPr>
              <w:pStyle w:val="33"/>
              <w:rPr>
                <w:rFonts w:eastAsia="PMingLiU"/>
                <w:lang w:val="en-US"/>
              </w:rPr>
            </w:pPr>
            <w:r>
              <w:rPr>
                <w:rFonts w:eastAsia="PMingLiU" w:cs="Arial"/>
                <w:szCs w:val="18"/>
                <w:lang w:val="en-US"/>
              </w:rPr>
              <w:t>-94.6</w:t>
            </w:r>
          </w:p>
        </w:tc>
        <w:tc>
          <w:tcPr>
            <w:tcW w:w="741" w:type="dxa"/>
            <w:shd w:val="clear" w:color="auto" w:fill="auto"/>
          </w:tcPr>
          <w:p>
            <w:pPr>
              <w:pStyle w:val="33"/>
              <w:rPr>
                <w:rFonts w:eastAsia="PMingLiU"/>
                <w:lang w:val="en-US"/>
              </w:rPr>
            </w:pPr>
            <w:r>
              <w:rPr>
                <w:rFonts w:eastAsia="PMingLiU" w:cs="Arial"/>
                <w:szCs w:val="18"/>
                <w:lang w:val="en-US"/>
              </w:rPr>
              <w:t>-93.5</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-97.0</w:t>
            </w:r>
          </w:p>
        </w:tc>
        <w:tc>
          <w:tcPr>
            <w:tcW w:w="741" w:type="dxa"/>
            <w:shd w:val="clear" w:color="auto" w:fill="auto"/>
          </w:tcPr>
          <w:p>
            <w:pPr>
              <w:pStyle w:val="33"/>
              <w:rPr>
                <w:rFonts w:eastAsia="PMingLiU"/>
                <w:lang w:val="en-US"/>
              </w:rPr>
            </w:pPr>
            <w:r>
              <w:rPr>
                <w:rFonts w:eastAsia="PMingLiU" w:cs="Arial"/>
                <w:szCs w:val="18"/>
                <w:lang w:val="en-US"/>
              </w:rPr>
              <w:t>-94.9</w:t>
            </w:r>
          </w:p>
        </w:tc>
        <w:tc>
          <w:tcPr>
            <w:tcW w:w="741" w:type="dxa"/>
            <w:shd w:val="clear" w:color="auto" w:fill="auto"/>
          </w:tcPr>
          <w:p>
            <w:pPr>
              <w:pStyle w:val="33"/>
              <w:rPr>
                <w:rFonts w:eastAsia="PMingLiU"/>
                <w:lang w:val="en-US"/>
              </w:rPr>
            </w:pPr>
            <w:r>
              <w:rPr>
                <w:rFonts w:eastAsia="PMingLiU" w:cs="Arial"/>
                <w:szCs w:val="18"/>
                <w:lang w:val="en-US"/>
              </w:rPr>
              <w:t>-93.7</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r>
              <w:rPr>
                <w:rFonts w:eastAsia="PMingLiU" w:cs="Arial"/>
                <w:szCs w:val="18"/>
                <w:lang w:val="en-US"/>
              </w:rPr>
              <w:t>-89.4</w:t>
            </w:r>
          </w:p>
        </w:tc>
      </w:tr>
    </w:tbl>
    <w:p>
      <w:pPr>
        <w:pStyle w:val="31"/>
        <w:overflowPunct/>
        <w:autoSpaceDE/>
        <w:autoSpaceDN/>
        <w:adjustRightInd/>
        <w:spacing w:before="24" w:after="24"/>
        <w:ind w:left="1440" w:firstLine="0" w:firstLineChars="0"/>
        <w:textAlignment w:val="auto"/>
        <w:rPr>
          <w:color w:val="0070C0"/>
          <w:lang w:val="en-US" w:eastAsia="zh-CN"/>
        </w:rPr>
      </w:pPr>
    </w:p>
    <w:p>
      <w:pPr>
        <w:pStyle w:val="31"/>
        <w:numPr>
          <w:ilvl w:val="1"/>
          <w:numId w:val="2"/>
        </w:numPr>
        <w:overflowPunct/>
        <w:autoSpaceDE/>
        <w:autoSpaceDN/>
        <w:adjustRightInd/>
        <w:spacing w:before="24" w:after="24"/>
        <w:ind w:left="1440" w:firstLineChars="0"/>
        <w:textAlignment w:val="auto"/>
        <w:rPr>
          <w:color w:val="0070C0"/>
          <w:lang w:val="en-US" w:eastAsia="zh-CN"/>
        </w:rPr>
      </w:pPr>
      <w:r>
        <w:rPr>
          <w:rFonts w:hint="eastAsia" w:eastAsiaTheme="minorEastAsia"/>
          <w:color w:val="0070C0"/>
          <w:lang w:val="en-US" w:eastAsia="zh-CN"/>
        </w:rPr>
        <w:t xml:space="preserve">Option 2: </w:t>
      </w:r>
      <w:r>
        <w:rPr>
          <w:rFonts w:hint="eastAsia"/>
          <w:color w:val="0070C0"/>
          <w:lang w:val="en-US" w:eastAsia="zh-CN"/>
        </w:rPr>
        <w:t xml:space="preserve">to specify the REFSENS for band n256 as below table </w:t>
      </w:r>
    </w:p>
    <w:p>
      <w:pPr>
        <w:spacing w:after="0"/>
        <w:jc w:val="center"/>
        <w:rPr>
          <w:b/>
          <w:bCs/>
          <w:lang w:val="en-US"/>
        </w:rPr>
      </w:pPr>
      <w:r>
        <w:rPr>
          <w:b/>
          <w:bCs/>
          <w:lang w:val="en-US"/>
        </w:rPr>
        <w:t>REFSENSE of n256</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32"/>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32"/>
              <w:rPr>
                <w:rFonts w:eastAsia="PMingLiU"/>
                <w:lang w:val="en-US"/>
              </w:rPr>
            </w:pPr>
            <w:r>
              <w:rPr>
                <w:rFonts w:eastAsia="PMingLiU"/>
                <w:lang w:val="en-US"/>
              </w:rPr>
              <w:t>Operating Band</w:t>
            </w:r>
          </w:p>
        </w:tc>
        <w:tc>
          <w:tcPr>
            <w:tcW w:w="629" w:type="dxa"/>
            <w:vAlign w:val="center"/>
          </w:tcPr>
          <w:p>
            <w:pPr>
              <w:pStyle w:val="32"/>
              <w:rPr>
                <w:rFonts w:eastAsia="PMingLiU"/>
                <w:lang w:val="en-US"/>
              </w:rPr>
            </w:pPr>
            <w:r>
              <w:rPr>
                <w:rFonts w:eastAsia="PMingLiU"/>
                <w:lang w:val="en-US"/>
              </w:rPr>
              <w:t>SCS kHz</w:t>
            </w:r>
          </w:p>
        </w:tc>
        <w:tc>
          <w:tcPr>
            <w:tcW w:w="741" w:type="dxa"/>
            <w:shd w:val="clear" w:color="auto" w:fill="auto"/>
            <w:vAlign w:val="center"/>
          </w:tcPr>
          <w:p>
            <w:pPr>
              <w:pStyle w:val="32"/>
              <w:rPr>
                <w:rFonts w:eastAsia="PMingLiU"/>
                <w:lang w:val="en-US"/>
              </w:rPr>
            </w:pPr>
            <w:r>
              <w:rPr>
                <w:rFonts w:eastAsia="PMingLiU"/>
                <w:lang w:val="en-US"/>
              </w:rPr>
              <w:t>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10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15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20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25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30 MHz (dBm)</w:t>
            </w:r>
          </w:p>
        </w:tc>
        <w:tc>
          <w:tcPr>
            <w:tcW w:w="741" w:type="dxa"/>
            <w:vAlign w:val="center"/>
          </w:tcPr>
          <w:p>
            <w:pPr>
              <w:pStyle w:val="32"/>
              <w:rPr>
                <w:rFonts w:eastAsia="PMingLiU"/>
                <w:lang w:val="en-US"/>
              </w:rPr>
            </w:pPr>
            <w:r>
              <w:rPr>
                <w:rFonts w:eastAsia="PMingLiU"/>
                <w:lang w:val="en-US"/>
              </w:rPr>
              <w:t>35 MHz (dBm)</w:t>
            </w:r>
          </w:p>
        </w:tc>
        <w:tc>
          <w:tcPr>
            <w:tcW w:w="740" w:type="dxa"/>
            <w:shd w:val="clear" w:color="auto" w:fill="auto"/>
            <w:vAlign w:val="center"/>
          </w:tcPr>
          <w:p>
            <w:pPr>
              <w:pStyle w:val="32"/>
              <w:rPr>
                <w:rFonts w:eastAsia="PMingLiU"/>
                <w:lang w:val="en-US"/>
              </w:rPr>
            </w:pPr>
            <w:r>
              <w:rPr>
                <w:rFonts w:eastAsia="PMingLiU"/>
                <w:lang w:val="en-US"/>
              </w:rPr>
              <w:t>40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45 MHz (dBm)</w:t>
            </w:r>
          </w:p>
        </w:tc>
        <w:tc>
          <w:tcPr>
            <w:tcW w:w="814" w:type="dxa"/>
            <w:vAlign w:val="center"/>
          </w:tcPr>
          <w:p>
            <w:pPr>
              <w:pStyle w:val="32"/>
              <w:rPr>
                <w:rFonts w:eastAsia="PMingLiU"/>
                <w:lang w:val="en-US"/>
              </w:rPr>
            </w:pPr>
            <w:r>
              <w:rPr>
                <w:rFonts w:eastAsia="PMingLiU"/>
                <w:lang w:val="en-US"/>
              </w:rPr>
              <w:t>50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n256</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-100.0</w:t>
            </w:r>
          </w:p>
        </w:tc>
        <w:tc>
          <w:tcPr>
            <w:tcW w:w="740" w:type="dxa"/>
            <w:shd w:val="clear" w:color="auto" w:fill="auto"/>
          </w:tcPr>
          <w:p>
            <w:pPr>
              <w:pStyle w:val="33"/>
              <w:rPr>
                <w:rFonts w:eastAsia="PMingLiU"/>
                <w:lang w:val="en-US"/>
              </w:rPr>
            </w:pPr>
            <w:r>
              <w:rPr>
                <w:rFonts w:eastAsia="PMingLiU" w:cs="Arial"/>
                <w:szCs w:val="18"/>
                <w:lang w:val="en-US"/>
              </w:rPr>
              <w:t>-96.8</w:t>
            </w:r>
          </w:p>
        </w:tc>
        <w:tc>
          <w:tcPr>
            <w:tcW w:w="741" w:type="dxa"/>
            <w:shd w:val="clear" w:color="auto" w:fill="auto"/>
          </w:tcPr>
          <w:p>
            <w:pPr>
              <w:pStyle w:val="33"/>
              <w:rPr>
                <w:rFonts w:eastAsia="PMingLiU"/>
                <w:lang w:val="en-US"/>
              </w:rPr>
            </w:pPr>
            <w:r>
              <w:rPr>
                <w:rFonts w:eastAsia="PMingLiU" w:cs="Arial"/>
                <w:szCs w:val="18"/>
                <w:lang w:val="en-US"/>
              </w:rPr>
              <w:t>-95.0</w:t>
            </w:r>
          </w:p>
        </w:tc>
        <w:tc>
          <w:tcPr>
            <w:tcW w:w="741" w:type="dxa"/>
            <w:shd w:val="clear" w:color="auto" w:fill="auto"/>
          </w:tcPr>
          <w:p>
            <w:pPr>
              <w:pStyle w:val="33"/>
              <w:rPr>
                <w:rFonts w:eastAsia="PMingLiU"/>
                <w:lang w:val="en-US"/>
              </w:rPr>
            </w:pPr>
            <w:r>
              <w:rPr>
                <w:rFonts w:eastAsia="PMingLiU" w:cs="Arial"/>
                <w:szCs w:val="18"/>
                <w:lang w:val="en-US"/>
              </w:rPr>
              <w:t>-93.8</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-97.1</w:t>
            </w:r>
          </w:p>
        </w:tc>
        <w:tc>
          <w:tcPr>
            <w:tcW w:w="741" w:type="dxa"/>
            <w:shd w:val="clear" w:color="auto" w:fill="auto"/>
          </w:tcPr>
          <w:p>
            <w:pPr>
              <w:pStyle w:val="33"/>
              <w:rPr>
                <w:rFonts w:eastAsia="PMingLiU"/>
                <w:lang w:val="en-US"/>
              </w:rPr>
            </w:pPr>
            <w:r>
              <w:rPr>
                <w:rFonts w:eastAsia="PMingLiU" w:cs="Arial"/>
                <w:szCs w:val="18"/>
                <w:lang w:val="en-US"/>
              </w:rPr>
              <w:t>-95.1</w:t>
            </w:r>
          </w:p>
        </w:tc>
        <w:tc>
          <w:tcPr>
            <w:tcW w:w="741" w:type="dxa"/>
            <w:shd w:val="clear" w:color="auto" w:fill="auto"/>
          </w:tcPr>
          <w:p>
            <w:pPr>
              <w:pStyle w:val="33"/>
              <w:rPr>
                <w:rFonts w:eastAsia="PMingLiU"/>
                <w:lang w:val="en-US"/>
              </w:rPr>
            </w:pPr>
            <w:r>
              <w:rPr>
                <w:rFonts w:eastAsia="PMingLiU" w:cs="Arial"/>
                <w:szCs w:val="18"/>
                <w:lang w:val="en-US"/>
              </w:rPr>
              <w:t>-94.0</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-97.5</w:t>
            </w:r>
          </w:p>
        </w:tc>
        <w:tc>
          <w:tcPr>
            <w:tcW w:w="741" w:type="dxa"/>
            <w:shd w:val="clear" w:color="auto" w:fill="auto"/>
          </w:tcPr>
          <w:p>
            <w:pPr>
              <w:pStyle w:val="33"/>
              <w:rPr>
                <w:rFonts w:eastAsia="PMingLiU"/>
                <w:lang w:val="en-US"/>
              </w:rPr>
            </w:pPr>
            <w:r>
              <w:rPr>
                <w:rFonts w:eastAsia="PMingLiU" w:cs="Arial"/>
                <w:szCs w:val="18"/>
                <w:lang w:val="en-US"/>
              </w:rPr>
              <w:t>-95.4</w:t>
            </w:r>
          </w:p>
        </w:tc>
        <w:tc>
          <w:tcPr>
            <w:tcW w:w="741" w:type="dxa"/>
            <w:shd w:val="clear" w:color="auto" w:fill="auto"/>
          </w:tcPr>
          <w:p>
            <w:pPr>
              <w:pStyle w:val="33"/>
              <w:rPr>
                <w:rFonts w:eastAsia="PMingLiU"/>
                <w:lang w:val="en-US"/>
              </w:rPr>
            </w:pPr>
            <w:r>
              <w:rPr>
                <w:rFonts w:eastAsia="PMingLiU" w:cs="Arial"/>
                <w:szCs w:val="18"/>
                <w:lang w:val="en-US"/>
              </w:rPr>
              <w:t>-94.2</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bl>
    <w:p>
      <w:pPr>
        <w:pStyle w:val="38"/>
        <w:bidi w:val="0"/>
        <w:rPr>
          <w:rFonts w:hint="default"/>
          <w:lang w:val="en-US" w:eastAsia="zh-CN"/>
        </w:rPr>
      </w:pPr>
    </w:p>
    <w:p>
      <w:pPr>
        <w:pStyle w:val="42"/>
        <w:keepNext/>
        <w:keepLines/>
        <w:pageBreakBefore w:val="0"/>
        <w:widowControl/>
        <w:numPr>
          <w:ilvl w:val="1"/>
          <w:numId w:val="1"/>
        </w:numPr>
        <w:kinsoku/>
        <w:wordWrap/>
        <w:overflowPunct w:val="0"/>
        <w:topLinePunct w:val="0"/>
        <w:autoSpaceDE w:val="0"/>
        <w:autoSpaceDN w:val="0"/>
        <w:bidi w:val="0"/>
        <w:adjustRightInd w:val="0"/>
        <w:snapToGrid/>
        <w:ind w:left="720" w:leftChars="0" w:hanging="720" w:firstLineChars="0"/>
        <w:jc w:val="left"/>
        <w:textAlignment w:val="baseline"/>
        <w:outlineLvl w:val="1"/>
        <w:rPr>
          <w:rFonts w:hint="eastAsia" w:eastAsia="宋体"/>
          <w:b w:val="0"/>
          <w:bCs w:val="0"/>
          <w:sz w:val="24"/>
          <w:szCs w:val="24"/>
          <w:highlight w:val="none"/>
          <w:lang w:val="en-US" w:eastAsia="zh-CN"/>
        </w:rPr>
      </w:pPr>
      <w:r>
        <w:rPr>
          <w:rFonts w:hint="eastAsia"/>
          <w:b w:val="0"/>
          <w:bCs w:val="0"/>
          <w:sz w:val="24"/>
          <w:szCs w:val="24"/>
          <w:highlight w:val="none"/>
          <w:lang w:val="en-US" w:eastAsia="zh-CN"/>
        </w:rPr>
        <w:t>Blocking requirements</w:t>
      </w:r>
    </w:p>
    <w:p>
      <w:pPr>
        <w:jc w:val="both"/>
        <w:rPr>
          <w:rFonts w:hint="default"/>
          <w:b w:val="0"/>
          <w:bCs w:val="0"/>
          <w:lang w:val="en-US" w:eastAsia="zh-CN"/>
        </w:rPr>
      </w:pPr>
      <w:r>
        <w:rPr>
          <w:rFonts w:hint="eastAsia"/>
          <w:b w:val="0"/>
          <w:bCs w:val="0"/>
          <w:lang w:val="en-US" w:eastAsia="zh-CN"/>
        </w:rPr>
        <w:t>For OOBB requirement for n256 is defined relative to DL frequency range of band n256 instead of n65. If we just follow the legacy approach to define the OOBB requirement for n256, then it would be be challenging to support -15dB CBW signal close to low band edge of n65 if the same hardware of n65 is expected to be reused, therefore in order to have the harmonized solution for dedicated 30MHz duplexer design and reusing the same hardware of n65, some further relaxation as the following figure is proposed. It should be noted that only OOBB requirement of n256 in the lower frequency range is proposed to be updated, for OOBB requirement of n256 in the upper frequency range is proposed to follow the legacy approach (Indeed for OOBB requirement of n256 in the upper frequency range is the same as that of n65 ).</w:t>
      </w:r>
    </w:p>
    <w:p>
      <w:pPr>
        <w:jc w:val="both"/>
        <w:rPr>
          <w:rFonts w:hint="default"/>
          <w:b/>
          <w:bCs/>
          <w:lang w:val="en-US" w:eastAsia="zh-CN"/>
        </w:rPr>
      </w:pPr>
      <w:r>
        <w:drawing>
          <wp:inline distT="0" distB="0" distL="114300" distR="114300">
            <wp:extent cx="5898515" cy="2427605"/>
            <wp:effectExtent l="0" t="0" r="1460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98515" cy="2427605"/>
                    </a:xfrm>
                    <a:prstGeom prst="rect">
                      <a:avLst/>
                    </a:prstGeom>
                    <a:noFill/>
                    <a:ln>
                      <a:noFill/>
                    </a:ln>
                  </pic:spPr>
                </pic:pic>
              </a:graphicData>
            </a:graphic>
          </wp:inline>
        </w:drawing>
      </w:r>
    </w:p>
    <w:p>
      <w:pPr>
        <w:jc w:val="both"/>
        <w:rPr>
          <w:rFonts w:hint="default"/>
          <w:b/>
          <w:bCs/>
          <w:lang w:val="en-US" w:eastAsia="zh-CN"/>
        </w:rPr>
      </w:pPr>
      <w:r>
        <w:rPr>
          <w:rFonts w:hint="eastAsia"/>
          <w:b w:val="0"/>
          <w:bCs w:val="0"/>
          <w:lang w:val="en-US" w:eastAsia="zh-CN"/>
        </w:rPr>
        <w:t>Indeed, there are similar story for EU unlicensed band n102 requirement definition since n102 band is also lower part of n96, therefore in order to reuse the hardware of n96 as much as possible for EU band n102, therefore some OOBB requirement relaxation is also agreed and high level diagram is illustrated as following for the better understanding and comparison. The details can be found in the reference contribution [1][2].</w:t>
      </w:r>
    </w:p>
    <w:p>
      <w:pPr>
        <w:rPr>
          <w:rFonts w:hint="eastAsia"/>
          <w:lang w:val="en-US" w:eastAsia="zh-CN"/>
        </w:rPr>
      </w:pPr>
    </w:p>
    <w:p>
      <w:pPr>
        <w:spacing w:after="120"/>
        <w:jc w:val="center"/>
        <w:rPr>
          <w:lang w:eastAsia="zh-CN"/>
        </w:rPr>
      </w:pPr>
      <w:r>
        <w:drawing>
          <wp:inline distT="0" distB="0" distL="114300" distR="114300">
            <wp:extent cx="6265545" cy="2116455"/>
            <wp:effectExtent l="0" t="0" r="133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265545" cy="2116455"/>
                    </a:xfrm>
                    <a:prstGeom prst="rect">
                      <a:avLst/>
                    </a:prstGeom>
                    <a:noFill/>
                    <a:ln>
                      <a:noFill/>
                    </a:ln>
                  </pic:spPr>
                </pic:pic>
              </a:graphicData>
            </a:graphic>
          </wp:inline>
        </w:drawing>
      </w:r>
    </w:p>
    <w:p>
      <w:pPr>
        <w:spacing w:after="120"/>
        <w:jc w:val="center"/>
        <w:rPr>
          <w:lang w:val="en-US" w:eastAsia="zh-CN"/>
        </w:rPr>
      </w:pPr>
    </w:p>
    <w:p>
      <w:pPr>
        <w:spacing w:after="120"/>
        <w:jc w:val="center"/>
        <w:rPr>
          <w:rFonts w:hint="default"/>
          <w:lang w:val="en-US" w:eastAsia="zh-CN"/>
        </w:rPr>
      </w:pPr>
      <w:r>
        <w:rPr>
          <w:lang w:val="en-US" w:eastAsia="zh-CN"/>
        </w:rPr>
        <w:t>Figure 1: modified OOB requirements for an EU operating band 5945-6425 MHz implementd with an RF filter covering 5925-7125 MHz.</w:t>
      </w:r>
      <w:r>
        <w:rPr>
          <w:rFonts w:hint="eastAsia"/>
          <w:lang w:val="en-US" w:eastAsia="zh-CN"/>
        </w:rPr>
        <w:t xml:space="preserve"> [5]</w:t>
      </w:r>
    </w:p>
    <w:p>
      <w:pPr>
        <w:spacing w:after="120"/>
        <w:jc w:val="both"/>
        <w:rPr>
          <w:rFonts w:hint="eastAsia"/>
          <w:lang w:val="en-US" w:eastAsia="zh-CN"/>
        </w:rPr>
      </w:pPr>
      <w:r>
        <w:rPr>
          <w:rFonts w:hint="eastAsia"/>
          <w:lang w:val="en-US" w:eastAsia="zh-CN"/>
        </w:rPr>
        <w:t>Based on the above considerations, the range 2 and range 3 OOBB requirement should be extended lower to make sure that duplexer of n65 could also been reused, OOBB requirements for n256 is proposed as following:</w:t>
      </w:r>
    </w:p>
    <w:p>
      <w:pPr>
        <w:spacing w:after="120"/>
        <w:jc w:val="both"/>
        <w:rPr>
          <w:rFonts w:hint="default"/>
          <w:lang w:val="en-US" w:eastAsia="zh-CN"/>
        </w:rPr>
      </w:pPr>
      <w:r>
        <w:rPr>
          <w:rFonts w:hint="eastAsia"/>
          <w:b/>
          <w:bCs/>
          <w:lang w:val="en-US" w:eastAsia="zh-CN"/>
        </w:rPr>
        <w:t>Proposal 2:</w:t>
      </w:r>
      <w:r>
        <w:rPr>
          <w:rFonts w:hint="eastAsia"/>
          <w:lang w:val="en-US" w:eastAsia="zh-CN"/>
        </w:rPr>
        <w:t xml:space="preserve"> to OOBB requirements for n256 as shown in Table 7.6.3-1 and 7.6.3-2.</w:t>
      </w:r>
    </w:p>
    <w:p>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21"/>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r>
              <w:rPr>
                <w:rFonts w:ascii="Arial" w:hAnsi="Arial"/>
                <w:b/>
                <w:strike/>
                <w:dstrike w:val="0"/>
                <w:sz w:val="18"/>
              </w:rPr>
              <w:t>, 25, 30,</w:t>
            </w:r>
            <w:r>
              <w:rPr>
                <w:rFonts w:hint="eastAsia" w:ascii="Arial" w:hAnsi="Arial" w:eastAsia="宋体"/>
                <w:b/>
                <w:strike/>
                <w:dstrike w:val="0"/>
                <w:sz w:val="18"/>
                <w:lang w:val="en-US" w:eastAsia="zh-CN"/>
              </w:rPr>
              <w:t xml:space="preserve"> 35, </w:t>
            </w:r>
            <w:r>
              <w:rPr>
                <w:rFonts w:ascii="Arial" w:hAnsi="Arial"/>
                <w:b/>
                <w:strike/>
                <w:dstrike w:val="0"/>
                <w:sz w:val="18"/>
              </w:rPr>
              <w:t xml:space="preserve">40, </w:t>
            </w:r>
            <w:r>
              <w:rPr>
                <w:rFonts w:hint="eastAsia" w:ascii="Arial" w:hAnsi="Arial" w:eastAsia="宋体"/>
                <w:b/>
                <w:strike/>
                <w:dstrike w:val="0"/>
                <w:sz w:val="18"/>
                <w:lang w:val="en-US" w:eastAsia="zh-CN"/>
              </w:rPr>
              <w:t xml:space="preserve">45, </w:t>
            </w:r>
            <w:r>
              <w:rPr>
                <w:rFonts w:ascii="Arial" w:hAnsi="Arial"/>
                <w:b/>
                <w:strike/>
                <w:dstrike w:val="0"/>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p>
      <w:pPr>
        <w:pStyle w:val="42"/>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21"/>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tcPr>
          <w:p>
            <w:pPr>
              <w:pStyle w:val="32"/>
            </w:pPr>
            <w:r>
              <w:t>NR band</w:t>
            </w:r>
          </w:p>
        </w:tc>
        <w:tc>
          <w:tcPr>
            <w:tcW w:w="1487" w:type="dxa"/>
            <w:shd w:val="clear" w:color="auto" w:fill="auto"/>
          </w:tcPr>
          <w:p>
            <w:pPr>
              <w:pStyle w:val="32"/>
            </w:pPr>
            <w:r>
              <w:t>Parameter</w:t>
            </w:r>
          </w:p>
        </w:tc>
        <w:tc>
          <w:tcPr>
            <w:tcW w:w="799" w:type="dxa"/>
          </w:tcPr>
          <w:p>
            <w:pPr>
              <w:pStyle w:val="32"/>
            </w:pPr>
            <w:r>
              <w:t>Unit</w:t>
            </w:r>
          </w:p>
        </w:tc>
        <w:tc>
          <w:tcPr>
            <w:tcW w:w="1938" w:type="dxa"/>
          </w:tcPr>
          <w:p>
            <w:pPr>
              <w:pStyle w:val="32"/>
            </w:pPr>
            <w:r>
              <w:t>Range 1</w:t>
            </w:r>
          </w:p>
        </w:tc>
        <w:tc>
          <w:tcPr>
            <w:tcW w:w="1938" w:type="dxa"/>
          </w:tcPr>
          <w:p>
            <w:pPr>
              <w:pStyle w:val="32"/>
            </w:pPr>
            <w:r>
              <w:t>Range 2</w:t>
            </w:r>
          </w:p>
        </w:tc>
        <w:tc>
          <w:tcPr>
            <w:tcW w:w="1938" w:type="dxa"/>
          </w:tcPr>
          <w:p>
            <w:pPr>
              <w:pStyle w:val="3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shd w:val="clear" w:color="auto" w:fill="auto"/>
          </w:tcPr>
          <w:p>
            <w:pPr>
              <w:pStyle w:val="33"/>
            </w:pPr>
          </w:p>
        </w:tc>
        <w:tc>
          <w:tcPr>
            <w:tcW w:w="1487" w:type="dxa"/>
            <w:shd w:val="clear" w:color="auto" w:fill="auto"/>
          </w:tcPr>
          <w:p>
            <w:pPr>
              <w:pStyle w:val="33"/>
              <w:rPr>
                <w:lang w:val="sv-SE"/>
              </w:rPr>
            </w:pPr>
            <w:r>
              <w:rPr>
                <w:lang w:val="sv-SE"/>
              </w:rPr>
              <w:t>P</w:t>
            </w:r>
            <w:r>
              <w:rPr>
                <w:vertAlign w:val="subscript"/>
                <w:lang w:val="sv-SE"/>
              </w:rPr>
              <w:t>interferer</w:t>
            </w:r>
          </w:p>
        </w:tc>
        <w:tc>
          <w:tcPr>
            <w:tcW w:w="799" w:type="dxa"/>
          </w:tcPr>
          <w:p>
            <w:pPr>
              <w:pStyle w:val="33"/>
              <w:rPr>
                <w:lang w:val="sv-SE"/>
              </w:rPr>
            </w:pPr>
            <w:r>
              <w:rPr>
                <w:lang w:val="sv-SE"/>
              </w:rPr>
              <w:t>dBm</w:t>
            </w:r>
          </w:p>
        </w:tc>
        <w:tc>
          <w:tcPr>
            <w:tcW w:w="1938" w:type="dxa"/>
          </w:tcPr>
          <w:p>
            <w:pPr>
              <w:pStyle w:val="33"/>
            </w:pPr>
            <w:r>
              <w:t>-44</w:t>
            </w:r>
          </w:p>
        </w:tc>
        <w:tc>
          <w:tcPr>
            <w:tcW w:w="1938" w:type="dxa"/>
          </w:tcPr>
          <w:p>
            <w:pPr>
              <w:pStyle w:val="33"/>
            </w:pPr>
            <w:r>
              <w:t>-30</w:t>
            </w:r>
          </w:p>
        </w:tc>
        <w:tc>
          <w:tcPr>
            <w:tcW w:w="1938" w:type="dxa"/>
          </w:tcPr>
          <w:p>
            <w:pPr>
              <w:pStyle w:val="3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tcBorders>
            <w:shd w:val="clear" w:color="auto" w:fill="auto"/>
          </w:tcPr>
          <w:p>
            <w:pPr>
              <w:pStyle w:val="33"/>
              <w:rPr>
                <w:rFonts w:hint="default" w:eastAsiaTheme="minorEastAsia"/>
                <w:lang w:val="en-US" w:eastAsia="zh-CN"/>
              </w:rPr>
            </w:pPr>
            <w:r>
              <w:rPr>
                <w:rFonts w:hint="eastAsia"/>
                <w:lang w:val="en-US" w:eastAsia="zh-CN"/>
              </w:rPr>
              <w:t>n256, n255</w:t>
            </w:r>
          </w:p>
        </w:tc>
        <w:tc>
          <w:tcPr>
            <w:tcW w:w="1487" w:type="dxa"/>
            <w:shd w:val="clear" w:color="auto" w:fill="auto"/>
          </w:tcPr>
          <w:p>
            <w:pPr>
              <w:pStyle w:val="33"/>
              <w:rPr>
                <w:lang w:val="sv-SE"/>
              </w:rPr>
            </w:pPr>
            <w:r>
              <w:rPr>
                <w:lang w:val="sv-SE"/>
              </w:rPr>
              <w:t>F</w:t>
            </w:r>
            <w:r>
              <w:rPr>
                <w:vertAlign w:val="subscript"/>
                <w:lang w:val="sv-SE"/>
              </w:rPr>
              <w:t>interferer</w:t>
            </w:r>
            <w:r>
              <w:rPr>
                <w:lang w:val="sv-SE"/>
              </w:rPr>
              <w:t xml:space="preserve"> (CW)</w:t>
            </w:r>
          </w:p>
        </w:tc>
        <w:tc>
          <w:tcPr>
            <w:tcW w:w="799" w:type="dxa"/>
          </w:tcPr>
          <w:p>
            <w:pPr>
              <w:pStyle w:val="33"/>
              <w:rPr>
                <w:lang w:val="sv-SE"/>
              </w:rPr>
            </w:pPr>
            <w:r>
              <w:rPr>
                <w:lang w:val="sv-SE"/>
              </w:rPr>
              <w:t>MHz</w:t>
            </w:r>
          </w:p>
        </w:tc>
        <w:tc>
          <w:tcPr>
            <w:tcW w:w="1938" w:type="dxa"/>
          </w:tcPr>
          <w:p>
            <w:pPr>
              <w:pStyle w:val="33"/>
              <w:rPr>
                <w:rFonts w:cs="Arial"/>
              </w:rPr>
            </w:pPr>
            <w:r>
              <w:rPr>
                <w:rFonts w:cs="Arial"/>
              </w:rPr>
              <w:t>-60 &lt; f – F</w:t>
            </w:r>
            <w:r>
              <w:rPr>
                <w:rFonts w:cs="Arial"/>
                <w:vertAlign w:val="subscript"/>
              </w:rPr>
              <w:t>DL_low</w:t>
            </w:r>
            <w:r>
              <w:rPr>
                <w:rFonts w:cs="Arial"/>
              </w:rPr>
              <w:t xml:space="preserve"> &lt; -15</w:t>
            </w:r>
          </w:p>
          <w:p>
            <w:pPr>
              <w:pStyle w:val="33"/>
              <w:rPr>
                <w:rFonts w:cs="Arial"/>
              </w:rPr>
            </w:pPr>
            <w:r>
              <w:rPr>
                <w:rFonts w:cs="Arial"/>
              </w:rPr>
              <w:t>or</w:t>
            </w:r>
          </w:p>
          <w:p>
            <w:pPr>
              <w:pStyle w:val="33"/>
              <w:rPr>
                <w:rFonts w:cs="Arial"/>
              </w:rPr>
            </w:pPr>
            <w:r>
              <w:rPr>
                <w:rFonts w:cs="Arial"/>
              </w:rPr>
              <w:t>15 &lt; f – F</w:t>
            </w:r>
            <w:r>
              <w:rPr>
                <w:rFonts w:cs="Arial"/>
                <w:vertAlign w:val="subscript"/>
              </w:rPr>
              <w:t>DL_high</w:t>
            </w:r>
            <w:r>
              <w:rPr>
                <w:rFonts w:cs="Arial"/>
              </w:rPr>
              <w:t xml:space="preserve"> &lt; 60</w:t>
            </w:r>
          </w:p>
        </w:tc>
        <w:tc>
          <w:tcPr>
            <w:tcW w:w="1938" w:type="dxa"/>
          </w:tcPr>
          <w:p>
            <w:pPr>
              <w:pStyle w:val="33"/>
              <w:rPr>
                <w:rFonts w:cs="Arial"/>
              </w:rPr>
            </w:pPr>
            <w:r>
              <w:rPr>
                <w:rFonts w:cs="Arial"/>
              </w:rPr>
              <w:t>-85 &lt; f – F</w:t>
            </w:r>
            <w:r>
              <w:rPr>
                <w:rFonts w:cs="Arial"/>
                <w:vertAlign w:val="subscript"/>
              </w:rPr>
              <w:t>DL_low</w:t>
            </w:r>
            <w:r>
              <w:rPr>
                <w:rFonts w:cs="Arial"/>
              </w:rPr>
              <w:t xml:space="preserve"> ≤ -60</w:t>
            </w:r>
          </w:p>
          <w:p>
            <w:pPr>
              <w:pStyle w:val="33"/>
              <w:rPr>
                <w:rFonts w:cs="Arial"/>
              </w:rPr>
            </w:pPr>
            <w:r>
              <w:rPr>
                <w:rFonts w:cs="Arial"/>
              </w:rPr>
              <w:t>or</w:t>
            </w:r>
          </w:p>
          <w:p>
            <w:pPr>
              <w:pStyle w:val="33"/>
              <w:rPr>
                <w:rFonts w:cs="Arial"/>
              </w:rPr>
            </w:pPr>
            <w:r>
              <w:rPr>
                <w:rFonts w:cs="Arial"/>
              </w:rPr>
              <w:t>60 ≤ f – F</w:t>
            </w:r>
            <w:r>
              <w:rPr>
                <w:rFonts w:cs="Arial"/>
                <w:vertAlign w:val="subscript"/>
              </w:rPr>
              <w:t>DL_high</w:t>
            </w:r>
            <w:r>
              <w:rPr>
                <w:rFonts w:cs="Arial"/>
              </w:rPr>
              <w:t xml:space="preserve"> &lt; 85</w:t>
            </w:r>
          </w:p>
        </w:tc>
        <w:tc>
          <w:tcPr>
            <w:tcW w:w="1938" w:type="dxa"/>
          </w:tcPr>
          <w:p>
            <w:pPr>
              <w:pStyle w:val="33"/>
              <w:rPr>
                <w:rFonts w:cs="Arial"/>
              </w:rPr>
            </w:pPr>
            <w:r>
              <w:rPr>
                <w:rFonts w:cs="Arial"/>
              </w:rPr>
              <w:t>1 ≤ f ≤ F</w:t>
            </w:r>
            <w:r>
              <w:rPr>
                <w:rFonts w:cs="Arial"/>
                <w:vertAlign w:val="subscript"/>
              </w:rPr>
              <w:t>DL_low</w:t>
            </w:r>
            <w:r>
              <w:rPr>
                <w:rFonts w:cs="Arial"/>
              </w:rPr>
              <w:t xml:space="preserve"> – 85</w:t>
            </w:r>
          </w:p>
          <w:p>
            <w:pPr>
              <w:pStyle w:val="33"/>
              <w:rPr>
                <w:rFonts w:cs="Arial"/>
              </w:rPr>
            </w:pPr>
            <w:r>
              <w:rPr>
                <w:rFonts w:cs="Arial"/>
              </w:rPr>
              <w:t>or</w:t>
            </w:r>
          </w:p>
          <w:p>
            <w:pPr>
              <w:pStyle w:val="33"/>
              <w:rPr>
                <w:rFonts w:cs="Arial"/>
              </w:rPr>
            </w:pPr>
            <w:r>
              <w:rPr>
                <w:rFonts w:cs="Arial"/>
              </w:rPr>
              <w:t>F</w:t>
            </w:r>
            <w:r>
              <w:rPr>
                <w:rFonts w:cs="Arial"/>
                <w:vertAlign w:val="subscript"/>
              </w:rPr>
              <w:t>DL_high</w:t>
            </w:r>
            <w:r>
              <w:rPr>
                <w:rFonts w:cs="Arial"/>
              </w:rPr>
              <w:t xml:space="preserve"> + 85 ≤ f</w:t>
            </w:r>
          </w:p>
          <w:p>
            <w:pPr>
              <w:pStyle w:val="3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pStyle w:val="45"/>
              <w:rPr>
                <w:rFonts w:hint="eastAsia" w:cs="Arial" w:eastAsiaTheme="minorEastAsia"/>
                <w:lang w:val="en-US" w:eastAsia="zh-CN"/>
              </w:rPr>
            </w:pPr>
            <w:r>
              <w:t xml:space="preserve">NOTE </w:t>
            </w:r>
            <w:r>
              <w:rPr>
                <w:rFonts w:hint="eastAsia"/>
                <w:lang w:val="en-US" w:eastAsia="zh-CN"/>
              </w:rPr>
              <w:t>1</w:t>
            </w:r>
            <w:r>
              <w:t>:</w:t>
            </w:r>
            <w:r>
              <w:tab/>
            </w:r>
            <w:r>
              <w:rPr>
                <w:rFonts w:eastAsia="MS Mincho"/>
              </w:rPr>
              <w:t>For band n</w:t>
            </w:r>
            <w:r>
              <w:rPr>
                <w:rFonts w:hint="eastAsia" w:eastAsia="宋体"/>
                <w:lang w:val="en-US" w:eastAsia="zh-CN"/>
              </w:rPr>
              <w:t xml:space="preserve">256 in Range 2 requirement, the applicable lower frequency range should be modified as  </w:t>
            </w:r>
            <w:r>
              <w:rPr>
                <w:rFonts w:cs="Arial"/>
              </w:rPr>
              <w:t>-</w:t>
            </w:r>
            <w:r>
              <w:rPr>
                <w:rFonts w:hint="eastAsia" w:cs="Arial"/>
                <w:lang w:val="en-US" w:eastAsia="zh-CN"/>
              </w:rPr>
              <w:t>145 (85+60)</w:t>
            </w:r>
            <w:r>
              <w:rPr>
                <w:rFonts w:cs="Arial"/>
              </w:rPr>
              <w:t xml:space="preserve"> &lt; f – F</w:t>
            </w:r>
            <w:r>
              <w:rPr>
                <w:rFonts w:cs="Arial"/>
                <w:vertAlign w:val="subscript"/>
              </w:rPr>
              <w:t>DL_low</w:t>
            </w:r>
            <w:r>
              <w:rPr>
                <w:rFonts w:cs="Arial"/>
              </w:rPr>
              <w:t xml:space="preserve"> ≤ -60</w:t>
            </w:r>
            <w:r>
              <w:rPr>
                <w:rFonts w:hint="eastAsia" w:cs="Arial"/>
                <w:lang w:val="en-US" w:eastAsia="zh-CN"/>
              </w:rPr>
              <w:t>.</w:t>
            </w:r>
          </w:p>
          <w:p>
            <w:pPr>
              <w:pStyle w:val="45"/>
              <w:rPr>
                <w:lang w:eastAsia="fr-FR"/>
              </w:rPr>
            </w:pPr>
            <w:r>
              <w:t>NOTE</w:t>
            </w:r>
            <w:r>
              <w:rPr>
                <w:rFonts w:hint="eastAsia"/>
                <w:lang w:val="en-US" w:eastAsia="zh-CN"/>
              </w:rPr>
              <w:t xml:space="preserve"> 2</w:t>
            </w:r>
            <w:r>
              <w:t>:</w:t>
            </w:r>
            <w:r>
              <w:tab/>
            </w:r>
            <w:r>
              <w:rPr>
                <w:lang w:val="en-US" w:eastAsia="zh-CN"/>
              </w:rPr>
              <w:t>Fo</w:t>
            </w:r>
            <w:r>
              <w:t>r band n</w:t>
            </w:r>
            <w:r>
              <w:rPr>
                <w:rFonts w:hint="eastAsia"/>
                <w:lang w:val="en-US" w:eastAsia="zh-CN"/>
              </w:rPr>
              <w:t xml:space="preserve">256 in Range 3 requirement, the applicable lower frequency range should be modified as </w:t>
            </w:r>
            <w:r>
              <w:t>1 ≤ f ≤ F</w:t>
            </w:r>
            <w:r>
              <w:rPr>
                <w:vertAlign w:val="subscript"/>
              </w:rPr>
              <w:t>DL_low</w:t>
            </w:r>
            <w:r>
              <w:t xml:space="preserve"> – </w:t>
            </w:r>
            <w:r>
              <w:rPr>
                <w:rFonts w:hint="eastAsia"/>
                <w:lang w:val="en-US" w:eastAsia="zh-CN"/>
              </w:rPr>
              <w:t>145</w:t>
            </w:r>
          </w:p>
        </w:tc>
      </w:tr>
    </w:tbl>
    <w:p>
      <w:pPr>
        <w:pStyle w:val="38"/>
        <w:bidi w:val="0"/>
        <w:rPr>
          <w:rFonts w:hint="default"/>
          <w:lang w:val="en-US" w:eastAsia="zh-CN"/>
        </w:rPr>
      </w:pP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further views on NTN UE RF requirements and proposals/observations are made as following:</w:t>
      </w:r>
    </w:p>
    <w:p>
      <w:pPr>
        <w:rPr>
          <w:rFonts w:hint="eastAsia"/>
          <w:b w:val="0"/>
          <w:bCs w:val="0"/>
          <w:color w:val="000000"/>
          <w:u w:val="none" w:color="000000"/>
          <w:lang w:val="en-US" w:eastAsia="zh-CN"/>
        </w:rPr>
      </w:pPr>
      <w:r>
        <w:rPr>
          <w:rFonts w:hint="eastAsia"/>
          <w:b/>
          <w:bCs/>
          <w:color w:val="000000"/>
          <w:u w:val="none" w:color="000000"/>
          <w:lang w:val="en-US" w:eastAsia="zh-CN"/>
        </w:rPr>
        <w:t xml:space="preserve">Proposal 1: </w:t>
      </w:r>
      <w:r>
        <w:rPr>
          <w:rFonts w:hint="eastAsia"/>
          <w:b w:val="0"/>
          <w:bCs w:val="0"/>
          <w:color w:val="000000"/>
          <w:u w:val="none" w:color="000000"/>
          <w:lang w:val="en-US" w:eastAsia="zh-CN"/>
        </w:rPr>
        <w:t>to define NTN UE REFSENS requirement for n256 with option 1 to keep the both option 1 and option 2 feasible.</w:t>
      </w:r>
    </w:p>
    <w:p>
      <w:pPr>
        <w:rPr>
          <w:rFonts w:hint="default"/>
          <w:b/>
          <w:bCs/>
          <w:color w:val="000000"/>
          <w:u w:val="none" w:color="000000"/>
          <w:lang w:val="en-US" w:eastAsia="zh-CN"/>
        </w:rPr>
      </w:pPr>
      <w:r>
        <w:rPr>
          <w:rFonts w:hint="eastAsia"/>
          <w:b/>
          <w:bCs/>
          <w:lang w:val="en-US" w:eastAsia="zh-CN"/>
        </w:rPr>
        <w:t>Proposal 2:</w:t>
      </w:r>
      <w:r>
        <w:rPr>
          <w:rFonts w:hint="eastAsia"/>
          <w:lang w:val="en-US" w:eastAsia="zh-CN"/>
        </w:rPr>
        <w:t xml:space="preserve"> to OOBB requirements for n256 as shown in Table 7.6.3-1 and 7.6.3-2.</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rFonts w:eastAsia="宋体"/>
          <w:sz w:val="20"/>
          <w:szCs w:val="20"/>
          <w:highlight w:val="none"/>
          <w:lang w:val="en-US"/>
        </w:rPr>
      </w:pPr>
      <w:r>
        <w:rPr>
          <w:rFonts w:hint="eastAsia"/>
          <w:sz w:val="20"/>
          <w:szCs w:val="22"/>
          <w:lang w:val="en-US" w:eastAsia="zh-CN"/>
        </w:rPr>
        <w:t>R4-2120676,WF on NTN UE RF requirements, approved.</w:t>
      </w:r>
    </w:p>
    <w:p>
      <w:pPr>
        <w:pStyle w:val="50"/>
        <w:numPr>
          <w:ilvl w:val="0"/>
          <w:numId w:val="3"/>
        </w:numPr>
        <w:rPr>
          <w:rFonts w:eastAsia="宋体"/>
          <w:sz w:val="20"/>
          <w:szCs w:val="20"/>
          <w:highlight w:val="none"/>
          <w:lang w:val="en-US"/>
        </w:rPr>
      </w:pPr>
      <w:r>
        <w:rPr>
          <w:rFonts w:hint="eastAsia"/>
          <w:sz w:val="20"/>
          <w:szCs w:val="22"/>
          <w:lang w:val="en-US" w:eastAsia="zh-CN"/>
        </w:rPr>
        <w:t>R4-2203036,WF on UE RF requirement for NTN UE, approved.</w:t>
      </w:r>
    </w:p>
    <w:p>
      <w:pPr>
        <w:pStyle w:val="50"/>
        <w:numPr>
          <w:ilvl w:val="0"/>
          <w:numId w:val="3"/>
        </w:numPr>
        <w:rPr>
          <w:rFonts w:hint="eastAsia"/>
          <w:sz w:val="20"/>
          <w:szCs w:val="22"/>
          <w:lang w:val="en-US" w:eastAsia="zh-CN"/>
        </w:rPr>
      </w:pPr>
      <w:r>
        <w:rPr>
          <w:rFonts w:hint="eastAsia"/>
          <w:sz w:val="20"/>
          <w:szCs w:val="22"/>
          <w:lang w:val="en-US" w:eastAsia="zh-CN"/>
        </w:rPr>
        <w:t>R4-2203113, Email discussion summary for [101-bis-e][308] NTN_Solutions_Part3, Noted.</w:t>
      </w:r>
    </w:p>
    <w:p>
      <w:pPr>
        <w:pStyle w:val="50"/>
        <w:numPr>
          <w:ilvl w:val="0"/>
          <w:numId w:val="3"/>
        </w:numPr>
        <w:rPr>
          <w:rFonts w:hint="eastAsia"/>
          <w:sz w:val="20"/>
          <w:szCs w:val="22"/>
          <w:lang w:val="en-US" w:eastAsia="zh-CN"/>
        </w:rPr>
      </w:pPr>
      <w:r>
        <w:rPr>
          <w:rFonts w:hint="eastAsia"/>
          <w:sz w:val="20"/>
          <w:szCs w:val="22"/>
          <w:lang w:val="en-US" w:eastAsia="zh-CN"/>
        </w:rPr>
        <w:t>R4-2207416, WF on NTN UE RF requirements, approved.</w:t>
      </w:r>
    </w:p>
    <w:p>
      <w:pPr>
        <w:pStyle w:val="50"/>
        <w:numPr>
          <w:ilvl w:val="0"/>
          <w:numId w:val="3"/>
        </w:numPr>
        <w:rPr>
          <w:rFonts w:hint="eastAsia"/>
          <w:sz w:val="20"/>
          <w:szCs w:val="22"/>
          <w:lang w:val="en-US" w:eastAsia="zh-CN"/>
        </w:rPr>
      </w:pPr>
      <w:r>
        <w:rPr>
          <w:rFonts w:hint="eastAsia"/>
          <w:sz w:val="20"/>
          <w:szCs w:val="22"/>
          <w:lang w:val="en-US" w:eastAsia="zh-CN"/>
        </w:rPr>
        <w:t>R4-2112823, RF requirements for a UE supporting a dedicated EU band implemented with a 5925-7125 MHz RF filter, Ericsson</w:t>
      </w:r>
    </w:p>
    <w:p>
      <w:pPr>
        <w:pStyle w:val="50"/>
        <w:numPr>
          <w:ilvl w:val="0"/>
          <w:numId w:val="3"/>
        </w:numPr>
        <w:rPr>
          <w:rFonts w:hint="default"/>
          <w:sz w:val="20"/>
          <w:szCs w:val="22"/>
          <w:lang w:val="en-US" w:eastAsia="zh-CN"/>
        </w:rPr>
      </w:pPr>
      <w:r>
        <w:rPr>
          <w:rFonts w:hint="eastAsia"/>
          <w:sz w:val="20"/>
          <w:szCs w:val="22"/>
          <w:lang w:val="en-US" w:eastAsia="zh-CN"/>
        </w:rPr>
        <w:t>R4-2119861,draftCR to 38.101-1 introduction of lower 6GHz NR unlicensed operation for Europe, Ericsson, approved.</w:t>
      </w:r>
    </w:p>
    <w:p>
      <w:pPr>
        <w:pStyle w:val="50"/>
        <w:numPr>
          <w:ilvl w:val="0"/>
          <w:numId w:val="0"/>
        </w:numPr>
        <w:rPr>
          <w:rFonts w:hint="eastAsia"/>
          <w:sz w:val="20"/>
          <w:szCs w:val="22"/>
          <w:lang w:val="en-US" w:eastAsia="zh-CN"/>
        </w:rPr>
      </w:pPr>
    </w:p>
    <w:p>
      <w:pPr>
        <w:pStyle w:val="50"/>
        <w:numPr>
          <w:ilvl w:val="0"/>
          <w:numId w:val="0"/>
        </w:numPr>
        <w:rPr>
          <w:rFonts w:eastAsia="宋体"/>
          <w:sz w:val="20"/>
          <w:szCs w:val="20"/>
          <w:highlight w:val="none"/>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Arial" w:hAnsi="Arial"/>
      </w:rPr>
    </w:lvl>
    <w:lvl w:ilvl="1" w:tentative="0">
      <w:start w:val="1"/>
      <w:numFmt w:val="bullet"/>
      <w:lvlText w:val="o"/>
      <w:lvlJc w:val="left"/>
      <w:pPr>
        <w:ind w:left="3905" w:hanging="360"/>
      </w:pPr>
      <w:rPr>
        <w:rFonts w:hint="default" w:ascii="Courier New" w:hAnsi="Courier New" w:cs="Courier New"/>
      </w:rPr>
    </w:lvl>
    <w:lvl w:ilvl="2" w:tentative="0">
      <w:start w:val="10"/>
      <w:numFmt w:val="bullet"/>
      <w:lvlText w:val="-"/>
      <w:lvlJc w:val="left"/>
      <w:pPr>
        <w:ind w:left="2376" w:hanging="360"/>
      </w:pPr>
      <w:rPr>
        <w:rFonts w:hint="default" w:ascii="Arial" w:hAnsi="Arial" w:eastAsia="Times New Roman" w:cs="Aria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65691"/>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B83A27"/>
    <w:rsid w:val="03C0647A"/>
    <w:rsid w:val="03D4427A"/>
    <w:rsid w:val="03E54642"/>
    <w:rsid w:val="03F54B29"/>
    <w:rsid w:val="03F93390"/>
    <w:rsid w:val="03FF3D36"/>
    <w:rsid w:val="041875C1"/>
    <w:rsid w:val="04252816"/>
    <w:rsid w:val="04376B0F"/>
    <w:rsid w:val="0444783F"/>
    <w:rsid w:val="044753DC"/>
    <w:rsid w:val="045E1DEE"/>
    <w:rsid w:val="04786ED3"/>
    <w:rsid w:val="048829D4"/>
    <w:rsid w:val="04F47261"/>
    <w:rsid w:val="051034CD"/>
    <w:rsid w:val="051F43BC"/>
    <w:rsid w:val="05280DA4"/>
    <w:rsid w:val="053E1AC2"/>
    <w:rsid w:val="053E6A22"/>
    <w:rsid w:val="05583DC1"/>
    <w:rsid w:val="05816D10"/>
    <w:rsid w:val="058E51EB"/>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C01587"/>
    <w:rsid w:val="07D835FB"/>
    <w:rsid w:val="07DD018B"/>
    <w:rsid w:val="07E014BE"/>
    <w:rsid w:val="07E85751"/>
    <w:rsid w:val="0800676F"/>
    <w:rsid w:val="08171593"/>
    <w:rsid w:val="081C03D6"/>
    <w:rsid w:val="0835476E"/>
    <w:rsid w:val="08367FC2"/>
    <w:rsid w:val="084E0029"/>
    <w:rsid w:val="085C5A1D"/>
    <w:rsid w:val="085D4432"/>
    <w:rsid w:val="085D6C7E"/>
    <w:rsid w:val="08611CAF"/>
    <w:rsid w:val="0865781A"/>
    <w:rsid w:val="0866133E"/>
    <w:rsid w:val="086773FB"/>
    <w:rsid w:val="08746361"/>
    <w:rsid w:val="08787950"/>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2C3D68"/>
    <w:rsid w:val="09422AC9"/>
    <w:rsid w:val="0953050B"/>
    <w:rsid w:val="09546457"/>
    <w:rsid w:val="09582472"/>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9FE1E8C"/>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A5190C"/>
    <w:rsid w:val="0AB329A9"/>
    <w:rsid w:val="0ABA0E5C"/>
    <w:rsid w:val="0ABA55D8"/>
    <w:rsid w:val="0AC8604E"/>
    <w:rsid w:val="0ACD4245"/>
    <w:rsid w:val="0AD57FD6"/>
    <w:rsid w:val="0ADD7B55"/>
    <w:rsid w:val="0B110AC0"/>
    <w:rsid w:val="0B1157EF"/>
    <w:rsid w:val="0B1765E0"/>
    <w:rsid w:val="0B1C1D7C"/>
    <w:rsid w:val="0B22066E"/>
    <w:rsid w:val="0B2643BE"/>
    <w:rsid w:val="0B3219ED"/>
    <w:rsid w:val="0B3F2432"/>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904522"/>
    <w:rsid w:val="0D907F37"/>
    <w:rsid w:val="0D976014"/>
    <w:rsid w:val="0DA060E8"/>
    <w:rsid w:val="0DC15DF5"/>
    <w:rsid w:val="0DC64CCA"/>
    <w:rsid w:val="0DCE36F3"/>
    <w:rsid w:val="0DD621E4"/>
    <w:rsid w:val="0DDE1317"/>
    <w:rsid w:val="0E0313B1"/>
    <w:rsid w:val="0E0D1A47"/>
    <w:rsid w:val="0E2F2AD9"/>
    <w:rsid w:val="0E3217E8"/>
    <w:rsid w:val="0E387AA5"/>
    <w:rsid w:val="0E3E7C67"/>
    <w:rsid w:val="0E400D03"/>
    <w:rsid w:val="0E4C7E76"/>
    <w:rsid w:val="0E5E2B07"/>
    <w:rsid w:val="0E771E51"/>
    <w:rsid w:val="0E7A2A61"/>
    <w:rsid w:val="0E8118C0"/>
    <w:rsid w:val="0E983DC1"/>
    <w:rsid w:val="0E9A17E3"/>
    <w:rsid w:val="0EA11114"/>
    <w:rsid w:val="0EA35AC0"/>
    <w:rsid w:val="0EB34961"/>
    <w:rsid w:val="0EB9447E"/>
    <w:rsid w:val="0EC468A2"/>
    <w:rsid w:val="0ECC4066"/>
    <w:rsid w:val="0ECE7C5F"/>
    <w:rsid w:val="0EE178FC"/>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6855E1"/>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E0725D"/>
    <w:rsid w:val="10FA45D2"/>
    <w:rsid w:val="11013F6E"/>
    <w:rsid w:val="11024527"/>
    <w:rsid w:val="110A4489"/>
    <w:rsid w:val="11150F62"/>
    <w:rsid w:val="111A28E5"/>
    <w:rsid w:val="112F54D2"/>
    <w:rsid w:val="1133321C"/>
    <w:rsid w:val="11461F96"/>
    <w:rsid w:val="114C3CA8"/>
    <w:rsid w:val="114D3A1D"/>
    <w:rsid w:val="11576536"/>
    <w:rsid w:val="11607F73"/>
    <w:rsid w:val="1164720A"/>
    <w:rsid w:val="11690FD9"/>
    <w:rsid w:val="116E3156"/>
    <w:rsid w:val="117561EB"/>
    <w:rsid w:val="117824F0"/>
    <w:rsid w:val="117E2370"/>
    <w:rsid w:val="11847341"/>
    <w:rsid w:val="11AC7561"/>
    <w:rsid w:val="11AF439E"/>
    <w:rsid w:val="11B66269"/>
    <w:rsid w:val="11BA0839"/>
    <w:rsid w:val="11F267E8"/>
    <w:rsid w:val="11F427FC"/>
    <w:rsid w:val="12026D61"/>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220CA7"/>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A3FFE"/>
    <w:rsid w:val="14FD4800"/>
    <w:rsid w:val="15157DF4"/>
    <w:rsid w:val="151B0462"/>
    <w:rsid w:val="151C45D8"/>
    <w:rsid w:val="15290336"/>
    <w:rsid w:val="155424D6"/>
    <w:rsid w:val="155B1745"/>
    <w:rsid w:val="155F651D"/>
    <w:rsid w:val="15655F19"/>
    <w:rsid w:val="157151A0"/>
    <w:rsid w:val="157348EB"/>
    <w:rsid w:val="15787FE5"/>
    <w:rsid w:val="157E21FE"/>
    <w:rsid w:val="158F4337"/>
    <w:rsid w:val="15AA7A19"/>
    <w:rsid w:val="15AC5259"/>
    <w:rsid w:val="15B06B12"/>
    <w:rsid w:val="15B75136"/>
    <w:rsid w:val="15B85832"/>
    <w:rsid w:val="15BE3D9D"/>
    <w:rsid w:val="15CF76A9"/>
    <w:rsid w:val="15D4474D"/>
    <w:rsid w:val="15D7597F"/>
    <w:rsid w:val="15F509A2"/>
    <w:rsid w:val="160C437B"/>
    <w:rsid w:val="161323DB"/>
    <w:rsid w:val="16160429"/>
    <w:rsid w:val="161C3234"/>
    <w:rsid w:val="16293079"/>
    <w:rsid w:val="1641433F"/>
    <w:rsid w:val="165C4863"/>
    <w:rsid w:val="16615E6B"/>
    <w:rsid w:val="1663476A"/>
    <w:rsid w:val="16640332"/>
    <w:rsid w:val="166C0D1B"/>
    <w:rsid w:val="167344C7"/>
    <w:rsid w:val="16794785"/>
    <w:rsid w:val="16853FE3"/>
    <w:rsid w:val="16936F51"/>
    <w:rsid w:val="1695742C"/>
    <w:rsid w:val="169D1595"/>
    <w:rsid w:val="16A31365"/>
    <w:rsid w:val="16A65B92"/>
    <w:rsid w:val="16AD0A57"/>
    <w:rsid w:val="16B50079"/>
    <w:rsid w:val="16BA18A0"/>
    <w:rsid w:val="16C41FCF"/>
    <w:rsid w:val="16DC6856"/>
    <w:rsid w:val="16E7220A"/>
    <w:rsid w:val="16F7773E"/>
    <w:rsid w:val="16FD7F89"/>
    <w:rsid w:val="170133DA"/>
    <w:rsid w:val="170259E1"/>
    <w:rsid w:val="17026088"/>
    <w:rsid w:val="170353FD"/>
    <w:rsid w:val="171053FC"/>
    <w:rsid w:val="17343071"/>
    <w:rsid w:val="17382580"/>
    <w:rsid w:val="173D6B68"/>
    <w:rsid w:val="175E4288"/>
    <w:rsid w:val="176C704A"/>
    <w:rsid w:val="17704729"/>
    <w:rsid w:val="17844C56"/>
    <w:rsid w:val="17A30F12"/>
    <w:rsid w:val="17BA48D6"/>
    <w:rsid w:val="17C535A1"/>
    <w:rsid w:val="17CD5EE0"/>
    <w:rsid w:val="17D77CA7"/>
    <w:rsid w:val="17DD34AB"/>
    <w:rsid w:val="17FC272C"/>
    <w:rsid w:val="17FE0B0A"/>
    <w:rsid w:val="17FE0C9F"/>
    <w:rsid w:val="17FF3C9D"/>
    <w:rsid w:val="180A527C"/>
    <w:rsid w:val="18235E85"/>
    <w:rsid w:val="18331DAD"/>
    <w:rsid w:val="18487A6F"/>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1439CB"/>
    <w:rsid w:val="19164AC7"/>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966AAE"/>
    <w:rsid w:val="19A7296F"/>
    <w:rsid w:val="19B94DE5"/>
    <w:rsid w:val="19BB7983"/>
    <w:rsid w:val="19D477FD"/>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513FD"/>
    <w:rsid w:val="1C0D0258"/>
    <w:rsid w:val="1C0D60C9"/>
    <w:rsid w:val="1C206F70"/>
    <w:rsid w:val="1C33796F"/>
    <w:rsid w:val="1C341EE3"/>
    <w:rsid w:val="1C441419"/>
    <w:rsid w:val="1C4A74AF"/>
    <w:rsid w:val="1C561E66"/>
    <w:rsid w:val="1C6D4144"/>
    <w:rsid w:val="1C726EC3"/>
    <w:rsid w:val="1C793EB9"/>
    <w:rsid w:val="1C807142"/>
    <w:rsid w:val="1C9900CF"/>
    <w:rsid w:val="1C9A166E"/>
    <w:rsid w:val="1CAA7318"/>
    <w:rsid w:val="1CB702E9"/>
    <w:rsid w:val="1CBE5026"/>
    <w:rsid w:val="1CC72C9C"/>
    <w:rsid w:val="1CE73066"/>
    <w:rsid w:val="1CF333A5"/>
    <w:rsid w:val="1D031DDA"/>
    <w:rsid w:val="1D0B731D"/>
    <w:rsid w:val="1D1F3B81"/>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447C0"/>
    <w:rsid w:val="1E1C27ED"/>
    <w:rsid w:val="1E1D7E95"/>
    <w:rsid w:val="1E224747"/>
    <w:rsid w:val="1E304B88"/>
    <w:rsid w:val="1E3E02E7"/>
    <w:rsid w:val="1E4C6B44"/>
    <w:rsid w:val="1E6703B7"/>
    <w:rsid w:val="1E680B85"/>
    <w:rsid w:val="1E9D4737"/>
    <w:rsid w:val="1E9D55A8"/>
    <w:rsid w:val="1EA13E87"/>
    <w:rsid w:val="1EB745A6"/>
    <w:rsid w:val="1EC11B39"/>
    <w:rsid w:val="1ED94E25"/>
    <w:rsid w:val="1EDB6C5F"/>
    <w:rsid w:val="1EE6740D"/>
    <w:rsid w:val="1EEC60E1"/>
    <w:rsid w:val="1F111FAE"/>
    <w:rsid w:val="1F141EF2"/>
    <w:rsid w:val="1F1F45E0"/>
    <w:rsid w:val="1F303EA7"/>
    <w:rsid w:val="1F3C6AF7"/>
    <w:rsid w:val="1F405E44"/>
    <w:rsid w:val="1F4E681F"/>
    <w:rsid w:val="1F5324C1"/>
    <w:rsid w:val="1F6833F6"/>
    <w:rsid w:val="1F6E25B7"/>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75EAE"/>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C14B4C"/>
    <w:rsid w:val="21D06D34"/>
    <w:rsid w:val="21D52CEC"/>
    <w:rsid w:val="21FF71D8"/>
    <w:rsid w:val="2209399D"/>
    <w:rsid w:val="22101F8E"/>
    <w:rsid w:val="2225227E"/>
    <w:rsid w:val="222F6A23"/>
    <w:rsid w:val="224E39DE"/>
    <w:rsid w:val="224E74D0"/>
    <w:rsid w:val="226E6630"/>
    <w:rsid w:val="22713DD4"/>
    <w:rsid w:val="227F5037"/>
    <w:rsid w:val="228A008B"/>
    <w:rsid w:val="22910A2E"/>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2053F9"/>
    <w:rsid w:val="25467DBB"/>
    <w:rsid w:val="25473E3C"/>
    <w:rsid w:val="254C6566"/>
    <w:rsid w:val="256343AC"/>
    <w:rsid w:val="2575094F"/>
    <w:rsid w:val="257F18B5"/>
    <w:rsid w:val="25805FF5"/>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505B6"/>
    <w:rsid w:val="274A7B1A"/>
    <w:rsid w:val="275439E1"/>
    <w:rsid w:val="276320D7"/>
    <w:rsid w:val="277D48C8"/>
    <w:rsid w:val="279408D2"/>
    <w:rsid w:val="27970434"/>
    <w:rsid w:val="279A2ED3"/>
    <w:rsid w:val="27B02558"/>
    <w:rsid w:val="27B91021"/>
    <w:rsid w:val="27B91958"/>
    <w:rsid w:val="27C06D17"/>
    <w:rsid w:val="27E92B28"/>
    <w:rsid w:val="27FE4240"/>
    <w:rsid w:val="280008FF"/>
    <w:rsid w:val="28050D91"/>
    <w:rsid w:val="281035C6"/>
    <w:rsid w:val="28103F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6967E8"/>
    <w:rsid w:val="296B20A7"/>
    <w:rsid w:val="297D1A8B"/>
    <w:rsid w:val="2985112D"/>
    <w:rsid w:val="29856D4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6684D"/>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56F31"/>
    <w:rsid w:val="2BC941AF"/>
    <w:rsid w:val="2BDC02CD"/>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DE0155"/>
    <w:rsid w:val="2CEF04E9"/>
    <w:rsid w:val="2CFD5C64"/>
    <w:rsid w:val="2D0128E8"/>
    <w:rsid w:val="2D063D5B"/>
    <w:rsid w:val="2D0E231B"/>
    <w:rsid w:val="2D1A1A6B"/>
    <w:rsid w:val="2D1A4915"/>
    <w:rsid w:val="2D306B85"/>
    <w:rsid w:val="2D326196"/>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3D58C6"/>
    <w:rsid w:val="2E46069F"/>
    <w:rsid w:val="2E4978FD"/>
    <w:rsid w:val="2E62508F"/>
    <w:rsid w:val="2E6F4813"/>
    <w:rsid w:val="2E705752"/>
    <w:rsid w:val="2E7B65BB"/>
    <w:rsid w:val="2E8F09A4"/>
    <w:rsid w:val="2E993370"/>
    <w:rsid w:val="2EA26ABE"/>
    <w:rsid w:val="2EA74B75"/>
    <w:rsid w:val="2EB61295"/>
    <w:rsid w:val="2EBA67BC"/>
    <w:rsid w:val="2EBD5807"/>
    <w:rsid w:val="2EC24F24"/>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E19FB"/>
    <w:rsid w:val="2FCA0967"/>
    <w:rsid w:val="2FD5799A"/>
    <w:rsid w:val="2FEC5B2E"/>
    <w:rsid w:val="2FF117AD"/>
    <w:rsid w:val="2FF95633"/>
    <w:rsid w:val="30010F70"/>
    <w:rsid w:val="300F7F13"/>
    <w:rsid w:val="301E3C00"/>
    <w:rsid w:val="303E2F77"/>
    <w:rsid w:val="3045713F"/>
    <w:rsid w:val="30500A5C"/>
    <w:rsid w:val="30624456"/>
    <w:rsid w:val="307273BE"/>
    <w:rsid w:val="30752E77"/>
    <w:rsid w:val="30757D3C"/>
    <w:rsid w:val="308018A6"/>
    <w:rsid w:val="30804E19"/>
    <w:rsid w:val="3090288F"/>
    <w:rsid w:val="309A51D1"/>
    <w:rsid w:val="309B0CFB"/>
    <w:rsid w:val="309E4272"/>
    <w:rsid w:val="30B7307E"/>
    <w:rsid w:val="30DC45E8"/>
    <w:rsid w:val="30DD6027"/>
    <w:rsid w:val="30DE16AB"/>
    <w:rsid w:val="30F44A95"/>
    <w:rsid w:val="30F77A98"/>
    <w:rsid w:val="30FA21D8"/>
    <w:rsid w:val="31005524"/>
    <w:rsid w:val="31040F4B"/>
    <w:rsid w:val="310F3D38"/>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C567F"/>
    <w:rsid w:val="324F1DD8"/>
    <w:rsid w:val="32666821"/>
    <w:rsid w:val="326B7BBB"/>
    <w:rsid w:val="326C2633"/>
    <w:rsid w:val="327A3DD6"/>
    <w:rsid w:val="327E6AD8"/>
    <w:rsid w:val="32946A84"/>
    <w:rsid w:val="32AB1C6F"/>
    <w:rsid w:val="32AF7FA9"/>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8E06F4"/>
    <w:rsid w:val="33985879"/>
    <w:rsid w:val="339902E6"/>
    <w:rsid w:val="33A156DE"/>
    <w:rsid w:val="33B70359"/>
    <w:rsid w:val="33BA1B32"/>
    <w:rsid w:val="33E20DF0"/>
    <w:rsid w:val="33F80AD9"/>
    <w:rsid w:val="34087429"/>
    <w:rsid w:val="340B5F03"/>
    <w:rsid w:val="341315B5"/>
    <w:rsid w:val="34147AA7"/>
    <w:rsid w:val="342D3CE2"/>
    <w:rsid w:val="34343D6C"/>
    <w:rsid w:val="34347DC5"/>
    <w:rsid w:val="34380493"/>
    <w:rsid w:val="343E7A2B"/>
    <w:rsid w:val="34463967"/>
    <w:rsid w:val="344C08D2"/>
    <w:rsid w:val="34530DE5"/>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7E2935"/>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13567"/>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BB78F7"/>
    <w:rsid w:val="39BC428E"/>
    <w:rsid w:val="39C46549"/>
    <w:rsid w:val="39CA1A60"/>
    <w:rsid w:val="39CE0DA8"/>
    <w:rsid w:val="39D3749A"/>
    <w:rsid w:val="39DC3BC3"/>
    <w:rsid w:val="39DD49C2"/>
    <w:rsid w:val="39DD4ACE"/>
    <w:rsid w:val="39E02DD2"/>
    <w:rsid w:val="39E513A7"/>
    <w:rsid w:val="39E70CEA"/>
    <w:rsid w:val="39EC7454"/>
    <w:rsid w:val="39FD2FB3"/>
    <w:rsid w:val="3A1A155D"/>
    <w:rsid w:val="3A237175"/>
    <w:rsid w:val="3A6B2D0D"/>
    <w:rsid w:val="3A6D36F4"/>
    <w:rsid w:val="3A711C68"/>
    <w:rsid w:val="3A765470"/>
    <w:rsid w:val="3A796E46"/>
    <w:rsid w:val="3A8B3C77"/>
    <w:rsid w:val="3A9A224E"/>
    <w:rsid w:val="3A9C1F8C"/>
    <w:rsid w:val="3A9D2551"/>
    <w:rsid w:val="3AA15A8E"/>
    <w:rsid w:val="3AA97F70"/>
    <w:rsid w:val="3ABF42F5"/>
    <w:rsid w:val="3AC3080D"/>
    <w:rsid w:val="3AC64DDF"/>
    <w:rsid w:val="3AFD37D0"/>
    <w:rsid w:val="3B016EE9"/>
    <w:rsid w:val="3B075C4E"/>
    <w:rsid w:val="3B0E6B93"/>
    <w:rsid w:val="3B3A132E"/>
    <w:rsid w:val="3B456D7F"/>
    <w:rsid w:val="3B5E261D"/>
    <w:rsid w:val="3B616FBE"/>
    <w:rsid w:val="3B683A4D"/>
    <w:rsid w:val="3B69534A"/>
    <w:rsid w:val="3B6F5B73"/>
    <w:rsid w:val="3B7B1D0B"/>
    <w:rsid w:val="3B8636D9"/>
    <w:rsid w:val="3B873119"/>
    <w:rsid w:val="3BA35FC1"/>
    <w:rsid w:val="3BA566FD"/>
    <w:rsid w:val="3BA7008A"/>
    <w:rsid w:val="3BB47D9F"/>
    <w:rsid w:val="3BB743FC"/>
    <w:rsid w:val="3BB85731"/>
    <w:rsid w:val="3BBA5B3C"/>
    <w:rsid w:val="3BBD4984"/>
    <w:rsid w:val="3BD32D30"/>
    <w:rsid w:val="3BDD2776"/>
    <w:rsid w:val="3BDE5F43"/>
    <w:rsid w:val="3BF10AAD"/>
    <w:rsid w:val="3BFC39AA"/>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104587"/>
    <w:rsid w:val="3D200D7C"/>
    <w:rsid w:val="3D272F24"/>
    <w:rsid w:val="3D29222C"/>
    <w:rsid w:val="3D424FBD"/>
    <w:rsid w:val="3D47670E"/>
    <w:rsid w:val="3D58163A"/>
    <w:rsid w:val="3D5A05E2"/>
    <w:rsid w:val="3D5C63D4"/>
    <w:rsid w:val="3D5E50E6"/>
    <w:rsid w:val="3D7618FA"/>
    <w:rsid w:val="3D766E42"/>
    <w:rsid w:val="3D791797"/>
    <w:rsid w:val="3D8522AA"/>
    <w:rsid w:val="3D8C2C79"/>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25284"/>
    <w:rsid w:val="3E3419DC"/>
    <w:rsid w:val="3E4B2DC3"/>
    <w:rsid w:val="3E5D67B7"/>
    <w:rsid w:val="3E604D61"/>
    <w:rsid w:val="3E623E46"/>
    <w:rsid w:val="3E7A1C88"/>
    <w:rsid w:val="3E862069"/>
    <w:rsid w:val="3E87258B"/>
    <w:rsid w:val="3E8B095A"/>
    <w:rsid w:val="3E8D66A1"/>
    <w:rsid w:val="3E8E07CD"/>
    <w:rsid w:val="3E8E6C82"/>
    <w:rsid w:val="3E943FDD"/>
    <w:rsid w:val="3E9A19C5"/>
    <w:rsid w:val="3E9A3250"/>
    <w:rsid w:val="3EAC3BDD"/>
    <w:rsid w:val="3EB767A1"/>
    <w:rsid w:val="3EC3405D"/>
    <w:rsid w:val="3ECF0F50"/>
    <w:rsid w:val="3ECF234A"/>
    <w:rsid w:val="3ED41E72"/>
    <w:rsid w:val="3ED671CD"/>
    <w:rsid w:val="3EE14A57"/>
    <w:rsid w:val="3EE21263"/>
    <w:rsid w:val="3EFD4D64"/>
    <w:rsid w:val="3F0F61E5"/>
    <w:rsid w:val="3F144192"/>
    <w:rsid w:val="3F217DDA"/>
    <w:rsid w:val="3F346FC2"/>
    <w:rsid w:val="3F355D6D"/>
    <w:rsid w:val="3F441B08"/>
    <w:rsid w:val="3F4754CE"/>
    <w:rsid w:val="3F4A4087"/>
    <w:rsid w:val="3F5361F5"/>
    <w:rsid w:val="3F791853"/>
    <w:rsid w:val="3F952814"/>
    <w:rsid w:val="3F97030E"/>
    <w:rsid w:val="3FA41C63"/>
    <w:rsid w:val="3FAB3D87"/>
    <w:rsid w:val="3FAB41A2"/>
    <w:rsid w:val="3FAE47F6"/>
    <w:rsid w:val="3FE210C1"/>
    <w:rsid w:val="3FEB1C22"/>
    <w:rsid w:val="400A1CFC"/>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B4AEF"/>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7D18DA"/>
    <w:rsid w:val="438B6310"/>
    <w:rsid w:val="439C3431"/>
    <w:rsid w:val="439D0E7C"/>
    <w:rsid w:val="43A26A83"/>
    <w:rsid w:val="43AD6EA2"/>
    <w:rsid w:val="43B8346E"/>
    <w:rsid w:val="43D67A91"/>
    <w:rsid w:val="43E21F58"/>
    <w:rsid w:val="43E35EF0"/>
    <w:rsid w:val="43F76F69"/>
    <w:rsid w:val="43FC0DB2"/>
    <w:rsid w:val="44107DBD"/>
    <w:rsid w:val="444109FB"/>
    <w:rsid w:val="44453E85"/>
    <w:rsid w:val="4449152D"/>
    <w:rsid w:val="444E22EA"/>
    <w:rsid w:val="445046E0"/>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44F05"/>
    <w:rsid w:val="45195797"/>
    <w:rsid w:val="452164F3"/>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06564"/>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571C5"/>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718B0"/>
    <w:rsid w:val="4AF902F5"/>
    <w:rsid w:val="4AF94D42"/>
    <w:rsid w:val="4AF963E7"/>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C903B5"/>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1C537D"/>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256FA"/>
    <w:rsid w:val="4F983E33"/>
    <w:rsid w:val="4F9B5328"/>
    <w:rsid w:val="4FAB0006"/>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454A97"/>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97011"/>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0122CF"/>
    <w:rsid w:val="542A3FEF"/>
    <w:rsid w:val="542A5504"/>
    <w:rsid w:val="542F7A60"/>
    <w:rsid w:val="544913CB"/>
    <w:rsid w:val="54550067"/>
    <w:rsid w:val="54580F5A"/>
    <w:rsid w:val="5478695B"/>
    <w:rsid w:val="547D0A6C"/>
    <w:rsid w:val="54860559"/>
    <w:rsid w:val="548810E8"/>
    <w:rsid w:val="549438A5"/>
    <w:rsid w:val="549C6534"/>
    <w:rsid w:val="54A14490"/>
    <w:rsid w:val="54AB36A1"/>
    <w:rsid w:val="54B171C4"/>
    <w:rsid w:val="54B61DA8"/>
    <w:rsid w:val="54B62C99"/>
    <w:rsid w:val="54D279E4"/>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62BC0"/>
    <w:rsid w:val="559B1C17"/>
    <w:rsid w:val="55B403DD"/>
    <w:rsid w:val="55C0140E"/>
    <w:rsid w:val="55CF48E7"/>
    <w:rsid w:val="55D0342A"/>
    <w:rsid w:val="55D849A1"/>
    <w:rsid w:val="55E31A15"/>
    <w:rsid w:val="55E5367A"/>
    <w:rsid w:val="56214A7B"/>
    <w:rsid w:val="562E1F90"/>
    <w:rsid w:val="56373380"/>
    <w:rsid w:val="5637626B"/>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10E6"/>
    <w:rsid w:val="57B02763"/>
    <w:rsid w:val="57B6547E"/>
    <w:rsid w:val="57D01AAC"/>
    <w:rsid w:val="57DF6500"/>
    <w:rsid w:val="57E73B61"/>
    <w:rsid w:val="57F01737"/>
    <w:rsid w:val="57F73696"/>
    <w:rsid w:val="5803475B"/>
    <w:rsid w:val="580A6FBE"/>
    <w:rsid w:val="580F5BC1"/>
    <w:rsid w:val="5822786C"/>
    <w:rsid w:val="58243371"/>
    <w:rsid w:val="583420D6"/>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DC377C"/>
    <w:rsid w:val="59E11C9B"/>
    <w:rsid w:val="59EB0D06"/>
    <w:rsid w:val="59F511B7"/>
    <w:rsid w:val="59FC124B"/>
    <w:rsid w:val="59FE2229"/>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7A3F8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87395"/>
    <w:rsid w:val="5C5E033F"/>
    <w:rsid w:val="5C641D3B"/>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466639"/>
    <w:rsid w:val="60734371"/>
    <w:rsid w:val="6085543E"/>
    <w:rsid w:val="60907882"/>
    <w:rsid w:val="609517E9"/>
    <w:rsid w:val="609A2B73"/>
    <w:rsid w:val="60B340CC"/>
    <w:rsid w:val="60BA0952"/>
    <w:rsid w:val="60BC072F"/>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81300B"/>
    <w:rsid w:val="61963257"/>
    <w:rsid w:val="619C38B4"/>
    <w:rsid w:val="61A4486B"/>
    <w:rsid w:val="61AB17E3"/>
    <w:rsid w:val="61B33DDF"/>
    <w:rsid w:val="61BB4A1B"/>
    <w:rsid w:val="61BC23E5"/>
    <w:rsid w:val="61D21120"/>
    <w:rsid w:val="61E728F9"/>
    <w:rsid w:val="61F3667F"/>
    <w:rsid w:val="61FB110C"/>
    <w:rsid w:val="620B2B74"/>
    <w:rsid w:val="62185165"/>
    <w:rsid w:val="62421433"/>
    <w:rsid w:val="62460FCD"/>
    <w:rsid w:val="62480FF0"/>
    <w:rsid w:val="624B14C1"/>
    <w:rsid w:val="62630C6B"/>
    <w:rsid w:val="627301E8"/>
    <w:rsid w:val="6295194F"/>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0F67F3"/>
    <w:rsid w:val="65193EC9"/>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5C50FF"/>
    <w:rsid w:val="6679372B"/>
    <w:rsid w:val="667B3C56"/>
    <w:rsid w:val="66980BF6"/>
    <w:rsid w:val="66B81454"/>
    <w:rsid w:val="66BE1292"/>
    <w:rsid w:val="66BF76F1"/>
    <w:rsid w:val="66DA3497"/>
    <w:rsid w:val="66DC5BF8"/>
    <w:rsid w:val="66E173F9"/>
    <w:rsid w:val="66E3226C"/>
    <w:rsid w:val="66E611A7"/>
    <w:rsid w:val="66EC5E36"/>
    <w:rsid w:val="67181932"/>
    <w:rsid w:val="672A4901"/>
    <w:rsid w:val="67357906"/>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E842B9"/>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05FBA"/>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0E22B9"/>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1C16A4"/>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0B5751"/>
    <w:rsid w:val="6C155F31"/>
    <w:rsid w:val="6C206E21"/>
    <w:rsid w:val="6C263A06"/>
    <w:rsid w:val="6C3A624E"/>
    <w:rsid w:val="6C3F4795"/>
    <w:rsid w:val="6C431738"/>
    <w:rsid w:val="6C473607"/>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116C9E"/>
    <w:rsid w:val="6D274676"/>
    <w:rsid w:val="6D2F4B50"/>
    <w:rsid w:val="6D367781"/>
    <w:rsid w:val="6D385ED1"/>
    <w:rsid w:val="6D3C14B2"/>
    <w:rsid w:val="6D3D720C"/>
    <w:rsid w:val="6D412066"/>
    <w:rsid w:val="6D436625"/>
    <w:rsid w:val="6D5E64E8"/>
    <w:rsid w:val="6D652ED0"/>
    <w:rsid w:val="6D662717"/>
    <w:rsid w:val="6D663299"/>
    <w:rsid w:val="6D724705"/>
    <w:rsid w:val="6D770FC8"/>
    <w:rsid w:val="6D8F2666"/>
    <w:rsid w:val="6D925740"/>
    <w:rsid w:val="6D9E7C69"/>
    <w:rsid w:val="6DA71839"/>
    <w:rsid w:val="6DB07F46"/>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770E5"/>
    <w:rsid w:val="6EAB29FB"/>
    <w:rsid w:val="6EB32B7F"/>
    <w:rsid w:val="6EB46F18"/>
    <w:rsid w:val="6EB63507"/>
    <w:rsid w:val="6EBD4DFF"/>
    <w:rsid w:val="6EC73357"/>
    <w:rsid w:val="6ED266F7"/>
    <w:rsid w:val="6EE939F2"/>
    <w:rsid w:val="6F021829"/>
    <w:rsid w:val="6F03759D"/>
    <w:rsid w:val="6F0B1B6A"/>
    <w:rsid w:val="6F28474F"/>
    <w:rsid w:val="6F350882"/>
    <w:rsid w:val="6F384951"/>
    <w:rsid w:val="6F557589"/>
    <w:rsid w:val="6F575211"/>
    <w:rsid w:val="6F607895"/>
    <w:rsid w:val="6F61040C"/>
    <w:rsid w:val="6F6776E1"/>
    <w:rsid w:val="6F702CF5"/>
    <w:rsid w:val="6F7E1B78"/>
    <w:rsid w:val="6F9C5D71"/>
    <w:rsid w:val="6FA3781E"/>
    <w:rsid w:val="6FAF5C06"/>
    <w:rsid w:val="6FB80EE8"/>
    <w:rsid w:val="6FC3091C"/>
    <w:rsid w:val="6FD36624"/>
    <w:rsid w:val="6FE53444"/>
    <w:rsid w:val="6FF1528E"/>
    <w:rsid w:val="6FFB167C"/>
    <w:rsid w:val="700C0460"/>
    <w:rsid w:val="70170F2B"/>
    <w:rsid w:val="701E2FAB"/>
    <w:rsid w:val="702267D2"/>
    <w:rsid w:val="70370653"/>
    <w:rsid w:val="70387A8F"/>
    <w:rsid w:val="70541A84"/>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C2337"/>
    <w:rsid w:val="72A310CE"/>
    <w:rsid w:val="72A62916"/>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3F86105"/>
    <w:rsid w:val="7407051F"/>
    <w:rsid w:val="741076D1"/>
    <w:rsid w:val="74215D04"/>
    <w:rsid w:val="742A0965"/>
    <w:rsid w:val="742D6DB6"/>
    <w:rsid w:val="744642D9"/>
    <w:rsid w:val="74522D94"/>
    <w:rsid w:val="74775754"/>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1B2DC7"/>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6F759D"/>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515742"/>
    <w:rsid w:val="786D70E2"/>
    <w:rsid w:val="786E5400"/>
    <w:rsid w:val="787659AD"/>
    <w:rsid w:val="7888219B"/>
    <w:rsid w:val="788908C8"/>
    <w:rsid w:val="788A5AEB"/>
    <w:rsid w:val="78993306"/>
    <w:rsid w:val="78BC539D"/>
    <w:rsid w:val="78C134B0"/>
    <w:rsid w:val="78D346AB"/>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B3AFE"/>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5308ED"/>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644382"/>
    <w:rsid w:val="7E750E81"/>
    <w:rsid w:val="7E9044A6"/>
    <w:rsid w:val="7E922E52"/>
    <w:rsid w:val="7E924210"/>
    <w:rsid w:val="7EA87297"/>
    <w:rsid w:val="7EB56059"/>
    <w:rsid w:val="7EB73383"/>
    <w:rsid w:val="7EC22792"/>
    <w:rsid w:val="7EC57DB4"/>
    <w:rsid w:val="7ECE7DD6"/>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8B031F"/>
    <w:rsid w:val="7FA069EC"/>
    <w:rsid w:val="7FA825A7"/>
    <w:rsid w:val="7FAF53F8"/>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2022-04-25T15:51:35Z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